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9A974" w14:textId="5C4F821B" w:rsidR="009D43C0" w:rsidRDefault="00E54F3D" w:rsidP="007968EB">
      <w:pPr>
        <w:pStyle w:val="Title"/>
      </w:pPr>
      <w:r>
        <w:t xml:space="preserve">Conception éthique d’expériences </w:t>
      </w:r>
      <w:r w:rsidR="00E771DF">
        <w:t xml:space="preserve">numériques </w:t>
      </w:r>
      <w:r>
        <w:t xml:space="preserve">d’apprentissage </w:t>
      </w:r>
    </w:p>
    <w:p w14:paraId="750E6CF3" w14:textId="25D6CEA8" w:rsidR="00736FB3" w:rsidRDefault="00690ED7" w:rsidP="00736FB3">
      <w:pPr>
        <w:pStyle w:val="Auteur-PrnomNom"/>
      </w:pPr>
      <w:r>
        <w:t>Cécile Hardebolle</w:t>
      </w:r>
      <w:r w:rsidR="0035365D">
        <w:t>, Patrick Jermann, Roland Tormey, Jessica Dehler-Zufferey, Denis Gillet</w:t>
      </w:r>
    </w:p>
    <w:p w14:paraId="4576A030" w14:textId="7C931BCA" w:rsidR="00736FB3" w:rsidRDefault="00690ED7" w:rsidP="00736FB3">
      <w:pPr>
        <w:pStyle w:val="Auteur-Affiliation"/>
      </w:pPr>
      <w:r>
        <w:t>Ecole Polytechnique Fédérale de Lausanne</w:t>
      </w:r>
      <w:r w:rsidR="0066534F">
        <w:t xml:space="preserve"> (EPFL), Lausanne, Suisse</w:t>
      </w:r>
      <w:r w:rsidR="00644F64">
        <w:t xml:space="preserve">, </w:t>
      </w:r>
      <w:hyperlink r:id="rId8" w:history="1">
        <w:r w:rsidR="00644F64" w:rsidRPr="00D100CF">
          <w:rPr>
            <w:rStyle w:val="Hyperlink"/>
          </w:rPr>
          <w:t>cecile.hardebolle@epfl.ch</w:t>
        </w:r>
      </w:hyperlink>
      <w:r w:rsidR="00644F64">
        <w:t xml:space="preserve"> </w:t>
      </w:r>
    </w:p>
    <w:p w14:paraId="72EC194A" w14:textId="6298A29E" w:rsidR="00736FB3" w:rsidRDefault="00CD4E6C" w:rsidP="00736FB3">
      <w:pPr>
        <w:pStyle w:val="Auteur-PrnomNom"/>
      </w:pPr>
      <w:r>
        <w:t xml:space="preserve">Adrian </w:t>
      </w:r>
      <w:proofErr w:type="spellStart"/>
      <w:r>
        <w:t>Holzer</w:t>
      </w:r>
      <w:proofErr w:type="spellEnd"/>
      <w:r>
        <w:t xml:space="preserve">, Pascal </w:t>
      </w:r>
      <w:proofErr w:type="spellStart"/>
      <w:r>
        <w:t>Felber</w:t>
      </w:r>
      <w:proofErr w:type="spellEnd"/>
    </w:p>
    <w:p w14:paraId="66933380" w14:textId="60A34847" w:rsidR="00736FB3" w:rsidRDefault="00CD4E6C" w:rsidP="00736FB3">
      <w:pPr>
        <w:pStyle w:val="Auteur-Affiliation"/>
      </w:pPr>
      <w:r>
        <w:t>Université de Neuchâtel</w:t>
      </w:r>
      <w:r w:rsidR="0066534F">
        <w:t>, Neuchâtel, Suisse</w:t>
      </w:r>
    </w:p>
    <w:p w14:paraId="0C2CCC24" w14:textId="6260A6FD" w:rsidR="0066534F" w:rsidRPr="00E771DF" w:rsidRDefault="0066534F" w:rsidP="0066534F">
      <w:pPr>
        <w:pStyle w:val="Auteur-PrnomNom"/>
        <w:rPr>
          <w:lang w:val="de-DE"/>
        </w:rPr>
      </w:pPr>
      <w:bookmarkStart w:id="0" w:name="OLE_LINK3"/>
      <w:r w:rsidRPr="00E771DF">
        <w:rPr>
          <w:lang w:val="de-DE"/>
        </w:rPr>
        <w:t xml:space="preserve">Katrin </w:t>
      </w:r>
      <w:proofErr w:type="spellStart"/>
      <w:r w:rsidRPr="00E771DF">
        <w:rPr>
          <w:lang w:val="de-DE"/>
        </w:rPr>
        <w:t>Bentel</w:t>
      </w:r>
      <w:proofErr w:type="spellEnd"/>
      <w:r w:rsidRPr="00E771DF">
        <w:rPr>
          <w:lang w:val="de-DE"/>
        </w:rPr>
        <w:t xml:space="preserve">, Urs Brändle, Gerd </w:t>
      </w:r>
      <w:proofErr w:type="spellStart"/>
      <w:r w:rsidRPr="00E771DF">
        <w:rPr>
          <w:lang w:val="de-DE"/>
        </w:rPr>
        <w:t>Kortemeyer</w:t>
      </w:r>
      <w:proofErr w:type="spellEnd"/>
    </w:p>
    <w:p w14:paraId="2DA04078" w14:textId="150E32D7" w:rsidR="0066534F" w:rsidRPr="00E771DF" w:rsidRDefault="0066534F" w:rsidP="0066534F">
      <w:pPr>
        <w:pStyle w:val="Auteur-Affiliation"/>
        <w:rPr>
          <w:lang w:val="de-DE"/>
        </w:rPr>
      </w:pPr>
      <w:r w:rsidRPr="00E771DF">
        <w:rPr>
          <w:lang w:val="de-DE"/>
        </w:rPr>
        <w:t xml:space="preserve">Eidgenössische Technische Hochschule Zürich (ETHZ), </w:t>
      </w:r>
      <w:proofErr w:type="spellStart"/>
      <w:r w:rsidRPr="00E771DF">
        <w:rPr>
          <w:lang w:val="de-DE"/>
        </w:rPr>
        <w:t>Zurich</w:t>
      </w:r>
      <w:proofErr w:type="spellEnd"/>
      <w:r w:rsidRPr="00E771DF">
        <w:rPr>
          <w:lang w:val="de-DE"/>
        </w:rPr>
        <w:t>, Suisse</w:t>
      </w:r>
    </w:p>
    <w:p w14:paraId="52599DD8" w14:textId="77777777" w:rsidR="00736FB3" w:rsidRPr="0026675E" w:rsidRDefault="00736FB3" w:rsidP="00736FB3">
      <w:pPr>
        <w:pStyle w:val="Rubrique-Titre"/>
      </w:pPr>
      <w:r w:rsidRPr="0026675E">
        <w:t>Type de soumission </w:t>
      </w:r>
    </w:p>
    <w:p w14:paraId="5309540A" w14:textId="628A0120" w:rsidR="00736FB3" w:rsidRDefault="00B50197" w:rsidP="00736FB3">
      <w:pPr>
        <w:pStyle w:val="Rubrique-Texte"/>
      </w:pPr>
      <w:r>
        <w:t>Atelier</w:t>
      </w:r>
    </w:p>
    <w:p w14:paraId="27E9E50B" w14:textId="77777777" w:rsidR="00736FB3" w:rsidRPr="0026675E" w:rsidRDefault="00736FB3" w:rsidP="00736FB3">
      <w:pPr>
        <w:pStyle w:val="Rubrique-Titre"/>
      </w:pPr>
      <w:r w:rsidRPr="0026675E">
        <w:t>Résumé</w:t>
      </w:r>
    </w:p>
    <w:p w14:paraId="53048F91" w14:textId="7585C155" w:rsidR="00736FB3" w:rsidRPr="0026675E" w:rsidRDefault="000D62C8" w:rsidP="00736FB3">
      <w:pPr>
        <w:pStyle w:val="Rubrique-Texte"/>
      </w:pPr>
      <w:r>
        <w:t>La pandémie de COVID-19 a accéléré la transformation numérique de l’enseignement supérieur</w:t>
      </w:r>
      <w:r w:rsidR="008616DE">
        <w:t xml:space="preserve">, modifiant profondément </w:t>
      </w:r>
      <w:r w:rsidR="003C286A">
        <w:t xml:space="preserve">l’environnement dans lequel évoluent </w:t>
      </w:r>
      <w:proofErr w:type="spellStart"/>
      <w:r w:rsidR="003C286A">
        <w:t>enseignant</w:t>
      </w:r>
      <w:r w:rsidR="00627075">
        <w:t>·e</w:t>
      </w:r>
      <w:r w:rsidR="003C286A">
        <w:t>s</w:t>
      </w:r>
      <w:proofErr w:type="spellEnd"/>
      <w:r w:rsidR="003C286A">
        <w:t xml:space="preserve"> et </w:t>
      </w:r>
      <w:proofErr w:type="spellStart"/>
      <w:r w:rsidR="003C286A">
        <w:t>étudiant</w:t>
      </w:r>
      <w:r w:rsidR="00627075">
        <w:t>·e</w:t>
      </w:r>
      <w:r w:rsidR="003C286A">
        <w:t>s</w:t>
      </w:r>
      <w:proofErr w:type="spellEnd"/>
      <w:r>
        <w:t xml:space="preserve">. Cependant, bon nombre d’outils </w:t>
      </w:r>
      <w:r w:rsidR="00206E62">
        <w:t>numérique</w:t>
      </w:r>
      <w:r w:rsidR="00860B7D">
        <w:t>s</w:t>
      </w:r>
      <w:r w:rsidR="00206E62">
        <w:t xml:space="preserve"> </w:t>
      </w:r>
      <w:r w:rsidR="003C286A">
        <w:t xml:space="preserve">dans ce nouvel environnement </w:t>
      </w:r>
      <w:r>
        <w:t xml:space="preserve">soulèvent des questions éthiques importantes. </w:t>
      </w:r>
      <w:r w:rsidR="00FD178A">
        <w:t>Avec le développement exponentiel d</w:t>
      </w:r>
      <w:r w:rsidR="00860B7D">
        <w:t>es technologies</w:t>
      </w:r>
      <w:r w:rsidR="00FD178A">
        <w:t xml:space="preserve"> numérique</w:t>
      </w:r>
      <w:r w:rsidR="00860B7D">
        <w:t>s</w:t>
      </w:r>
      <w:r w:rsidR="00FD178A">
        <w:t xml:space="preserve">, en particulier l’intelligence artificielle, il est essentiel de former </w:t>
      </w:r>
      <w:proofErr w:type="spellStart"/>
      <w:r w:rsidR="00FD178A">
        <w:t>e</w:t>
      </w:r>
      <w:r>
        <w:t>nseignant</w:t>
      </w:r>
      <w:r w:rsidR="005D6B61">
        <w:t>·e</w:t>
      </w:r>
      <w:r>
        <w:t>s</w:t>
      </w:r>
      <w:proofErr w:type="spellEnd"/>
      <w:r>
        <w:t xml:space="preserve"> et </w:t>
      </w:r>
      <w:proofErr w:type="spellStart"/>
      <w:r>
        <w:t>étudiant</w:t>
      </w:r>
      <w:r w:rsidR="005D6B61">
        <w:t>·e</w:t>
      </w:r>
      <w:r>
        <w:t>s</w:t>
      </w:r>
      <w:proofErr w:type="spellEnd"/>
      <w:r>
        <w:t xml:space="preserve"> </w:t>
      </w:r>
      <w:r w:rsidR="00FD178A">
        <w:t xml:space="preserve">à ces questions. </w:t>
      </w:r>
      <w:r w:rsidR="005A633B">
        <w:t>Nous proposons</w:t>
      </w:r>
      <w:r w:rsidR="00F377C6">
        <w:t xml:space="preserve"> une approche pragmatique de la </w:t>
      </w:r>
      <w:r w:rsidR="004D5655">
        <w:t xml:space="preserve">réflexion éthique </w:t>
      </w:r>
      <w:r w:rsidR="00F377C6">
        <w:t>sous la forme d’un outil visuel</w:t>
      </w:r>
      <w:r w:rsidR="00FC0231">
        <w:t xml:space="preserve"> de type canevas</w:t>
      </w:r>
      <w:r w:rsidR="00FB00D0">
        <w:t>,</w:t>
      </w:r>
      <w:r w:rsidR="00FC0231">
        <w:t xml:space="preserve"> construit sur quatre principes éthiques </w:t>
      </w:r>
      <w:r w:rsidR="00E522BC">
        <w:t>spécifiques</w:t>
      </w:r>
      <w:r w:rsidR="00B31124">
        <w:t xml:space="preserve"> au numérique</w:t>
      </w:r>
      <w:r w:rsidR="00FC0231">
        <w:t xml:space="preserve"> : </w:t>
      </w:r>
      <w:r w:rsidR="00B31124">
        <w:t>bénéfice</w:t>
      </w:r>
      <w:r w:rsidR="00FC0231">
        <w:t>, autonomie, équité et vie privée</w:t>
      </w:r>
      <w:r w:rsidR="00F377C6">
        <w:t xml:space="preserve">. </w:t>
      </w:r>
      <w:r w:rsidR="008F119F">
        <w:t>Dans cet atelier interactif laissant une large part aux activités</w:t>
      </w:r>
      <w:r w:rsidR="00B623C3">
        <w:t xml:space="preserve"> pratiques</w:t>
      </w:r>
      <w:r w:rsidR="008F119F">
        <w:t xml:space="preserve"> en groupe, l</w:t>
      </w:r>
      <w:r w:rsidR="00FC0231">
        <w:t xml:space="preserve">es </w:t>
      </w:r>
      <w:proofErr w:type="spellStart"/>
      <w:r w:rsidR="00FC0231">
        <w:t>participant</w:t>
      </w:r>
      <w:r w:rsidR="005D6B61">
        <w:t>·e</w:t>
      </w:r>
      <w:r w:rsidR="00FC0231">
        <w:t>s</w:t>
      </w:r>
      <w:proofErr w:type="spellEnd"/>
      <w:r w:rsidR="00FC0231">
        <w:t xml:space="preserve"> </w:t>
      </w:r>
      <w:r w:rsidR="00EC7D3F">
        <w:t>auront l’opportunité de mettre</w:t>
      </w:r>
      <w:r w:rsidR="00173433">
        <w:t xml:space="preserve"> en pratique ces principes éthiques et utiliseront</w:t>
      </w:r>
      <w:r w:rsidR="00E522BC">
        <w:t xml:space="preserve"> le canevas pour analyser un scénario </w:t>
      </w:r>
      <w:r w:rsidR="001E2FA5">
        <w:t>associant</w:t>
      </w:r>
      <w:r w:rsidR="001A179A">
        <w:t xml:space="preserve"> </w:t>
      </w:r>
      <w:r w:rsidR="001A179A" w:rsidRPr="001A179A">
        <w:t xml:space="preserve">une </w:t>
      </w:r>
      <w:r w:rsidR="00AD5F70">
        <w:t>expérience d’apprentissage</w:t>
      </w:r>
      <w:r w:rsidR="001A179A">
        <w:t xml:space="preserve"> </w:t>
      </w:r>
      <w:r w:rsidR="0067792C">
        <w:t>réaliste</w:t>
      </w:r>
      <w:r w:rsidR="0067792C" w:rsidRPr="001A179A">
        <w:t xml:space="preserve"> </w:t>
      </w:r>
      <w:r w:rsidR="001A179A" w:rsidRPr="001A179A">
        <w:t xml:space="preserve">et </w:t>
      </w:r>
      <w:r w:rsidR="001A179A">
        <w:t>un outil numérique du marché.</w:t>
      </w:r>
    </w:p>
    <w:bookmarkEnd w:id="0"/>
    <w:p w14:paraId="4E1BC136" w14:textId="77777777" w:rsidR="00736FB3" w:rsidRPr="00E771DF" w:rsidRDefault="00736FB3" w:rsidP="00736FB3">
      <w:pPr>
        <w:pStyle w:val="Rubrique-Titre"/>
        <w:rPr>
          <w:lang w:val="en-US"/>
        </w:rPr>
      </w:pPr>
      <w:r w:rsidRPr="00E771DF">
        <w:rPr>
          <w:lang w:val="en-US"/>
        </w:rPr>
        <w:t>Summary</w:t>
      </w:r>
    </w:p>
    <w:p w14:paraId="19D00F6F" w14:textId="2756DC2E" w:rsidR="00736FB3" w:rsidRPr="00E771DF" w:rsidRDefault="00C43389" w:rsidP="00736FB3">
      <w:pPr>
        <w:pStyle w:val="Rubrique-Texte"/>
        <w:rPr>
          <w:szCs w:val="18"/>
          <w:lang w:val="en-US"/>
        </w:rPr>
      </w:pPr>
      <w:r w:rsidRPr="00E771DF">
        <w:rPr>
          <w:szCs w:val="18"/>
          <w:lang w:val="en-US"/>
        </w:rPr>
        <w:t>The COVID-19 pandemic has accelerated the digital transformation of higher education</w:t>
      </w:r>
      <w:r w:rsidR="00AD55D9" w:rsidRPr="00AD55D9">
        <w:rPr>
          <w:szCs w:val="18"/>
          <w:lang w:val="en-US"/>
        </w:rPr>
        <w:t>, profoundly altering the environment in which faculty and students operate</w:t>
      </w:r>
      <w:r w:rsidRPr="00E771DF">
        <w:rPr>
          <w:szCs w:val="18"/>
          <w:lang w:val="en-US"/>
        </w:rPr>
        <w:t xml:space="preserve">. However, </w:t>
      </w:r>
      <w:r w:rsidR="00A008CB" w:rsidRPr="00A008CB">
        <w:rPr>
          <w:szCs w:val="18"/>
          <w:lang w:val="en-US"/>
        </w:rPr>
        <w:t xml:space="preserve">many of the </w:t>
      </w:r>
      <w:r w:rsidR="00206E62" w:rsidRPr="00A008CB">
        <w:rPr>
          <w:szCs w:val="18"/>
          <w:lang w:val="en-US"/>
        </w:rPr>
        <w:t xml:space="preserve">digital </w:t>
      </w:r>
      <w:r w:rsidR="00A008CB" w:rsidRPr="00A008CB">
        <w:rPr>
          <w:szCs w:val="18"/>
          <w:lang w:val="en-US"/>
        </w:rPr>
        <w:t>tools in this new environment</w:t>
      </w:r>
      <w:r w:rsidR="00A008CB">
        <w:rPr>
          <w:szCs w:val="18"/>
          <w:lang w:val="en-US"/>
        </w:rPr>
        <w:t xml:space="preserve"> </w:t>
      </w:r>
      <w:r w:rsidRPr="00E771DF">
        <w:rPr>
          <w:szCs w:val="18"/>
          <w:lang w:val="en-US"/>
        </w:rPr>
        <w:t>raise important ethical questions. With the exponential development of digital technology, particularly artificial intelligence, it is essential to train teachers and students about these issues.</w:t>
      </w:r>
      <w:r w:rsidR="009F05F8" w:rsidRPr="00E771DF">
        <w:rPr>
          <w:szCs w:val="18"/>
          <w:lang w:val="en-US"/>
        </w:rPr>
        <w:t xml:space="preserve"> We propose a pragmatic approach to ethical reflection in the form of a visual tool called a canvas, built on four ethical principles specific to digital </w:t>
      </w:r>
      <w:r w:rsidR="00467320" w:rsidRPr="00E771DF">
        <w:rPr>
          <w:szCs w:val="18"/>
          <w:lang w:val="en-US"/>
        </w:rPr>
        <w:t>technology</w:t>
      </w:r>
      <w:r w:rsidRPr="00E771DF">
        <w:rPr>
          <w:szCs w:val="18"/>
          <w:lang w:val="en-US"/>
        </w:rPr>
        <w:t xml:space="preserve">: </w:t>
      </w:r>
      <w:r w:rsidR="00AA0CBA" w:rsidRPr="00E771DF">
        <w:rPr>
          <w:szCs w:val="18"/>
          <w:lang w:val="en-US"/>
        </w:rPr>
        <w:t>beneficence</w:t>
      </w:r>
      <w:r w:rsidRPr="00E771DF">
        <w:rPr>
          <w:szCs w:val="18"/>
          <w:lang w:val="en-US"/>
        </w:rPr>
        <w:t xml:space="preserve">, autonomy, </w:t>
      </w:r>
      <w:r w:rsidR="001B4873" w:rsidRPr="00E771DF">
        <w:rPr>
          <w:szCs w:val="18"/>
          <w:lang w:val="en-US"/>
        </w:rPr>
        <w:t>fairness</w:t>
      </w:r>
      <w:r w:rsidRPr="00E771DF">
        <w:rPr>
          <w:szCs w:val="18"/>
          <w:lang w:val="en-US"/>
        </w:rPr>
        <w:t xml:space="preserve">, and privacy. In this interactive workshop with </w:t>
      </w:r>
      <w:r w:rsidR="00801AA2" w:rsidRPr="00E771DF">
        <w:rPr>
          <w:szCs w:val="18"/>
          <w:lang w:val="en-US"/>
        </w:rPr>
        <w:t xml:space="preserve">hands-on </w:t>
      </w:r>
      <w:r w:rsidRPr="00E771DF">
        <w:rPr>
          <w:szCs w:val="18"/>
          <w:lang w:val="en-US"/>
        </w:rPr>
        <w:t>activities</w:t>
      </w:r>
      <w:r w:rsidR="00801AA2" w:rsidRPr="00E771DF">
        <w:rPr>
          <w:szCs w:val="18"/>
          <w:lang w:val="en-US"/>
        </w:rPr>
        <w:t xml:space="preserve"> in groups</w:t>
      </w:r>
      <w:r w:rsidRPr="00E771DF">
        <w:rPr>
          <w:szCs w:val="18"/>
          <w:lang w:val="en-US"/>
        </w:rPr>
        <w:t>, participants will have the opportunity to</w:t>
      </w:r>
      <w:r w:rsidR="00F72368">
        <w:rPr>
          <w:szCs w:val="18"/>
          <w:lang w:val="en-US"/>
        </w:rPr>
        <w:t xml:space="preserve"> </w:t>
      </w:r>
      <w:r w:rsidR="00F72368" w:rsidRPr="00F72368">
        <w:rPr>
          <w:szCs w:val="18"/>
          <w:lang w:val="en-US"/>
        </w:rPr>
        <w:t xml:space="preserve">apply these ethical principles </w:t>
      </w:r>
      <w:r w:rsidRPr="00E771DF">
        <w:rPr>
          <w:szCs w:val="18"/>
          <w:lang w:val="en-US"/>
        </w:rPr>
        <w:t xml:space="preserve">use the </w:t>
      </w:r>
      <w:r w:rsidR="001A5F6F" w:rsidRPr="00E771DF">
        <w:rPr>
          <w:szCs w:val="18"/>
          <w:lang w:val="en-US"/>
        </w:rPr>
        <w:t>canvas</w:t>
      </w:r>
      <w:r w:rsidRPr="00E771DF">
        <w:rPr>
          <w:szCs w:val="18"/>
          <w:lang w:val="en-US"/>
        </w:rPr>
        <w:t xml:space="preserve"> to analyze a scenario </w:t>
      </w:r>
      <w:r w:rsidR="007B6CE8" w:rsidRPr="00E771DF">
        <w:rPr>
          <w:szCs w:val="18"/>
          <w:lang w:val="en-US"/>
        </w:rPr>
        <w:t>involving</w:t>
      </w:r>
      <w:r w:rsidRPr="00E771DF">
        <w:rPr>
          <w:szCs w:val="18"/>
          <w:lang w:val="en-US"/>
        </w:rPr>
        <w:t xml:space="preserve"> a </w:t>
      </w:r>
      <w:r w:rsidR="00D02F10" w:rsidRPr="00E771DF">
        <w:rPr>
          <w:szCs w:val="18"/>
          <w:lang w:val="en-US"/>
        </w:rPr>
        <w:t xml:space="preserve">realistic </w:t>
      </w:r>
      <w:r w:rsidRPr="00E771DF">
        <w:rPr>
          <w:szCs w:val="18"/>
          <w:lang w:val="en-US"/>
        </w:rPr>
        <w:t xml:space="preserve">learning experience and a </w:t>
      </w:r>
      <w:proofErr w:type="spellStart"/>
      <w:proofErr w:type="gramStart"/>
      <w:r w:rsidR="00D54D7D" w:rsidRPr="00E771DF">
        <w:rPr>
          <w:szCs w:val="18"/>
          <w:lang w:val="en-US"/>
        </w:rPr>
        <w:t>well known</w:t>
      </w:r>
      <w:proofErr w:type="spellEnd"/>
      <w:proofErr w:type="gramEnd"/>
      <w:r w:rsidR="00D54D7D" w:rsidRPr="00E771DF">
        <w:rPr>
          <w:szCs w:val="18"/>
          <w:lang w:val="en-US"/>
        </w:rPr>
        <w:t xml:space="preserve"> </w:t>
      </w:r>
      <w:r w:rsidRPr="00E771DF">
        <w:rPr>
          <w:szCs w:val="18"/>
          <w:lang w:val="en-US"/>
        </w:rPr>
        <w:t>digital tool.</w:t>
      </w:r>
    </w:p>
    <w:p w14:paraId="5DECCE7E" w14:textId="77777777" w:rsidR="00736FB3" w:rsidRPr="0017163F" w:rsidRDefault="00736FB3" w:rsidP="00736FB3">
      <w:pPr>
        <w:pStyle w:val="Rubrique-Titre"/>
      </w:pPr>
      <w:r w:rsidRPr="0017163F">
        <w:t>Mots-clés (maximum 5)</w:t>
      </w:r>
    </w:p>
    <w:p w14:paraId="60BAA850" w14:textId="37138C46" w:rsidR="00736FB3" w:rsidRPr="0017163F" w:rsidRDefault="002A12EA" w:rsidP="00736FB3">
      <w:pPr>
        <w:pStyle w:val="Rubrique-Texte"/>
      </w:pPr>
      <w:proofErr w:type="gramStart"/>
      <w:r>
        <w:t>éthique</w:t>
      </w:r>
      <w:proofErr w:type="gramEnd"/>
      <w:r w:rsidR="00736FB3" w:rsidRPr="0017163F">
        <w:t xml:space="preserve">, </w:t>
      </w:r>
      <w:r>
        <w:t>numérique</w:t>
      </w:r>
      <w:r w:rsidR="00736FB3" w:rsidRPr="0017163F">
        <w:t xml:space="preserve">, </w:t>
      </w:r>
      <w:r w:rsidR="00A53251">
        <w:t>expériences d’apprentissage</w:t>
      </w:r>
    </w:p>
    <w:p w14:paraId="73D7FE85" w14:textId="77777777" w:rsidR="00736FB3" w:rsidRPr="00E771DF" w:rsidRDefault="00736FB3" w:rsidP="00736FB3">
      <w:pPr>
        <w:pStyle w:val="Rubrique-Titre"/>
      </w:pPr>
      <w:r w:rsidRPr="00E771DF">
        <w:t xml:space="preserve">Key </w:t>
      </w:r>
      <w:proofErr w:type="spellStart"/>
      <w:r w:rsidRPr="00E771DF">
        <w:t>words</w:t>
      </w:r>
      <w:proofErr w:type="spellEnd"/>
      <w:r w:rsidRPr="00E771DF">
        <w:t xml:space="preserve"> (maximum 5)</w:t>
      </w:r>
    </w:p>
    <w:p w14:paraId="404C1F04" w14:textId="6A368BE9" w:rsidR="00736FB3" w:rsidRPr="0026675E" w:rsidRDefault="00A53251" w:rsidP="00736FB3">
      <w:pPr>
        <w:pStyle w:val="Rubrique-Texte"/>
        <w:rPr>
          <w:lang w:val="en-US"/>
        </w:rPr>
      </w:pPr>
      <w:r>
        <w:rPr>
          <w:lang w:val="en-US"/>
        </w:rPr>
        <w:t>ethics</w:t>
      </w:r>
      <w:r w:rsidR="00736FB3" w:rsidRPr="0026675E">
        <w:rPr>
          <w:lang w:val="en-US"/>
        </w:rPr>
        <w:t xml:space="preserve">, </w:t>
      </w:r>
      <w:r>
        <w:rPr>
          <w:lang w:val="en-US"/>
        </w:rPr>
        <w:t>digital</w:t>
      </w:r>
      <w:r w:rsidR="00F25110">
        <w:rPr>
          <w:lang w:val="en-US"/>
        </w:rPr>
        <w:t xml:space="preserve"> technology</w:t>
      </w:r>
      <w:r w:rsidR="00736FB3" w:rsidRPr="0026675E">
        <w:rPr>
          <w:lang w:val="en-US"/>
        </w:rPr>
        <w:t xml:space="preserve">, </w:t>
      </w:r>
      <w:r>
        <w:rPr>
          <w:lang w:val="en-US"/>
        </w:rPr>
        <w:t>learning experiences</w:t>
      </w:r>
    </w:p>
    <w:p w14:paraId="36D653F7" w14:textId="7919BA5E" w:rsidR="009D43C0" w:rsidRDefault="002D5D20" w:rsidP="000D532D">
      <w:pPr>
        <w:pStyle w:val="Heading1"/>
      </w:pPr>
      <w:r>
        <w:lastRenderedPageBreak/>
        <w:t xml:space="preserve">Contexte et intérêt pour </w:t>
      </w:r>
      <w:proofErr w:type="gramStart"/>
      <w:r>
        <w:t xml:space="preserve">les </w:t>
      </w:r>
      <w:proofErr w:type="spellStart"/>
      <w:r>
        <w:t>participant</w:t>
      </w:r>
      <w:proofErr w:type="gramEnd"/>
      <w:r w:rsidR="00DB7B97">
        <w:t>·e</w:t>
      </w:r>
      <w:r>
        <w:t>s</w:t>
      </w:r>
      <w:proofErr w:type="spellEnd"/>
    </w:p>
    <w:p w14:paraId="54F9627D" w14:textId="08821F17" w:rsidR="00D826A0" w:rsidRDefault="00850D02" w:rsidP="00614991">
      <w:r>
        <w:t xml:space="preserve">La pandémie de COVID-19 a profondément </w:t>
      </w:r>
      <w:r w:rsidR="007441C7">
        <w:t>modifié</w:t>
      </w:r>
      <w:r>
        <w:t xml:space="preserve"> l’environnement physique et social de l’enseignement </w:t>
      </w:r>
      <w:r w:rsidR="00013F74">
        <w:t>supérieur</w:t>
      </w:r>
      <w:r w:rsidR="007129D2">
        <w:t xml:space="preserve"> en accélérant sa </w:t>
      </w:r>
      <w:r w:rsidR="007441C7">
        <w:t>transformation</w:t>
      </w:r>
      <w:r w:rsidR="007129D2">
        <w:t xml:space="preserve"> numérique</w:t>
      </w:r>
      <w:r>
        <w:t xml:space="preserve">. </w:t>
      </w:r>
      <w:r w:rsidR="00013572">
        <w:t>S</w:t>
      </w:r>
      <w:r>
        <w:t xml:space="preserve">i </w:t>
      </w:r>
      <w:r w:rsidR="00596EFD">
        <w:t>certains</w:t>
      </w:r>
      <w:r>
        <w:t xml:space="preserve"> outils numériques</w:t>
      </w:r>
      <w:r w:rsidR="00666F9D">
        <w:t xml:space="preserve"> tels que les systèmes de gestion de l’apprentissage</w:t>
      </w:r>
      <w:r w:rsidR="00FE291B">
        <w:t xml:space="preserve"> ou les plateformes de cours massifs en ligne (</w:t>
      </w:r>
      <w:proofErr w:type="spellStart"/>
      <w:r w:rsidR="00FE291B">
        <w:t>MOOCs</w:t>
      </w:r>
      <w:proofErr w:type="spellEnd"/>
      <w:r w:rsidR="00FE291B">
        <w:t>)</w:t>
      </w:r>
      <w:r w:rsidR="00EE2780">
        <w:t xml:space="preserve"> </w:t>
      </w:r>
      <w:r w:rsidR="00582588">
        <w:t xml:space="preserve">faisaient déjà partie de cet environnement </w:t>
      </w:r>
      <w:r>
        <w:t>avant la pandémie</w:t>
      </w:r>
      <w:r w:rsidR="00F202AD">
        <w:t xml:space="preserve"> </w:t>
      </w:r>
      <w:r w:rsidR="00F202AD">
        <w:fldChar w:fldCharType="begin"/>
      </w:r>
      <w:r w:rsidR="00614991">
        <w:instrText xml:space="preserve"> ADDIN ZOTERO_ITEM CSL_CITATION {"citationID":"3XuD9PSY","properties":{"formattedCitation":"(Duguet et al., 2018)","plainCitation":"(Duguet et al., 2018)","noteIndex":0},"citationItems":[{"id":52,"uris":["http://zotero.org/users/2500092/items/NAXLMX3H"],"itemData":{"id":52,"type":"article-journal","abstract":"Dans cet article, nous nous intéressons à la nature des technologies de l’information et de la communication (TIC) mobilisées par les enseignants universitaires pour enseigner et aux facteurs explicatifs de cette utilisation. Nous procédons d’abord à un éclairage théorique notamment concernant les concepts de « TIC » et d’« utilisation ». Puis, à l’appui des données recueillies en mai 2016 auprès de 248 enseignants d’une université française, nous montrons que les TIC mobilisées par les enseignants à l’intérieur, mais aussi en dehors des heures de cours, sont plutôt d’ordre générique en opposition aux technologies plus sophistiquées. Les enseignants utilisent par ailleurs davantage les TIC en travaux dirigés et en travaux pratiques qu’en cours magistral. Nous analysons ensuite les facteurs, liés aux caractéristiques de l’enseignant ainsi qu’au contexte d’enseignement, tenant un rôle explicatif dans l’utilisation des TIC par les enseignants. Il en ressort que le sentiment de compétence en TIC de l’enseignant et les méthodes pédagogiques mobilisées en cours constituent des variables prégnantes dans l’explication de cette utilisation des TIC. Nous discutons ces résultats au regard de la littérature scientifique existant sur le sujet et proposons plusieurs perspectives de recherche.","container-title":"Lien social et Politiques","DOI":"10.7202/1056311ar","ISSN":"1703-9665","issue":"81","journalAbbreviation":"lsp","language":"fr","note":"publisher: Lien social et Politiques","page":"192-211","source":"www.erudit.org","title":"Utilisation du numérique par les enseignants à l’université : description et analyse des facteurs explicatifs","title-short":"Utilisation du numérique par les enseignants à l’université","author":[{"family":"Duguet","given":"Amélie"},{"family":"Morlaix","given":"Sophie"},{"family":"Pérez","given":"William"}],"issued":{"date-parts":[["2018"]]}}}],"schema":"https://github.com/citation-style-language/schema/raw/master/csl-citation.json"} </w:instrText>
      </w:r>
      <w:r w:rsidR="00F202AD">
        <w:fldChar w:fldCharType="separate"/>
      </w:r>
      <w:r w:rsidR="00F202AD" w:rsidRPr="00F202AD">
        <w:rPr>
          <w:rFonts w:cs="Times"/>
        </w:rPr>
        <w:t>(Duguet et al., 2018)</w:t>
      </w:r>
      <w:r w:rsidR="00F202AD">
        <w:fldChar w:fldCharType="end"/>
      </w:r>
      <w:r>
        <w:t xml:space="preserve">, </w:t>
      </w:r>
      <w:r w:rsidR="00013572">
        <w:t>de nombreux autres</w:t>
      </w:r>
      <w:r w:rsidR="00EE2780">
        <w:t xml:space="preserve"> outils</w:t>
      </w:r>
      <w:r w:rsidR="00013572">
        <w:t xml:space="preserve"> tels que</w:t>
      </w:r>
      <w:r w:rsidR="00F202AD">
        <w:t xml:space="preserve"> les</w:t>
      </w:r>
      <w:r w:rsidR="00013572">
        <w:t xml:space="preserve"> systèmes de</w:t>
      </w:r>
      <w:r w:rsidR="00F202AD">
        <w:t xml:space="preserve"> vidéoconférence</w:t>
      </w:r>
      <w:r w:rsidR="00013572">
        <w:t xml:space="preserve"> </w:t>
      </w:r>
      <w:r w:rsidR="00476B3A">
        <w:t>ont été introduits en urgence</w:t>
      </w:r>
      <w:r>
        <w:t xml:space="preserve"> </w:t>
      </w:r>
      <w:r w:rsidR="00476B3A">
        <w:t>afin d’assurer la continuité pédagogique pendant la crise</w:t>
      </w:r>
      <w:r w:rsidR="00666F9D">
        <w:t>.</w:t>
      </w:r>
      <w:r w:rsidR="00476B3A">
        <w:t xml:space="preserve"> </w:t>
      </w:r>
      <w:r w:rsidR="003B04BE" w:rsidRPr="00951F0E">
        <w:t>L</w:t>
      </w:r>
      <w:r w:rsidR="00F12A6F" w:rsidRPr="00951F0E">
        <w:t xml:space="preserve">es </w:t>
      </w:r>
      <w:r w:rsidR="00666F9D" w:rsidRPr="00951F0E">
        <w:t>modèles d’enseignement hybride</w:t>
      </w:r>
      <w:r w:rsidR="00FE291B" w:rsidRPr="00951F0E">
        <w:t>s</w:t>
      </w:r>
      <w:r w:rsidR="00666F9D" w:rsidRPr="00951F0E">
        <w:t xml:space="preserve"> et flexible</w:t>
      </w:r>
      <w:r w:rsidR="00FE291B" w:rsidRPr="00951F0E">
        <w:t>s</w:t>
      </w:r>
      <w:r w:rsidR="00666F9D" w:rsidRPr="00951F0E">
        <w:t xml:space="preserve"> </w:t>
      </w:r>
      <w:r w:rsidR="00F12A6F" w:rsidRPr="00951F0E">
        <w:t xml:space="preserve">qui ont </w:t>
      </w:r>
      <w:r w:rsidR="009B1313" w:rsidRPr="00951F0E">
        <w:t xml:space="preserve">été </w:t>
      </w:r>
      <w:r w:rsidR="00B07D4B" w:rsidRPr="00951F0E">
        <w:t xml:space="preserve">adoptés </w:t>
      </w:r>
      <w:r w:rsidR="009B1313" w:rsidRPr="00951F0E">
        <w:t>pour faire face aux vagues successives</w:t>
      </w:r>
      <w:r w:rsidR="00B4486E" w:rsidRPr="00951F0E">
        <w:t xml:space="preserve"> de la pandémie et qui, comme le soulignent </w:t>
      </w:r>
      <w:proofErr w:type="spellStart"/>
      <w:r w:rsidR="00B4486E" w:rsidRPr="00951F0E">
        <w:t>Bournaveas</w:t>
      </w:r>
      <w:proofErr w:type="spellEnd"/>
      <w:r w:rsidR="00B4486E" w:rsidRPr="00951F0E">
        <w:t xml:space="preserve"> et al. </w:t>
      </w:r>
      <w:r w:rsidR="00B4486E" w:rsidRPr="00951F0E">
        <w:fldChar w:fldCharType="begin"/>
      </w:r>
      <w:r w:rsidR="00614991">
        <w:instrText xml:space="preserve"> ADDIN ZOTERO_ITEM CSL_CITATION {"citationID":"qxW4vx68","properties":{"formattedCitation":"(2021)","plainCitation":"(2021)","noteIndex":0},"citationItems":[{"id":50,"uris":["http://zotero.org/users/2500092/items/TBBBBVDC"],"itemData":{"id":50,"type":"article-journal","abstract":"Nous défendons dans cet article le point de vue selon lequel lors de l'hybridation des enseignements, l'usage de l'analytique des apprentissages numériques non seulement apportent des bénéfices, mais constitue une réelle opportunité à saisir et à intégrer dès la conception des enseignements. Ce point de vue est adopté dans la construction d'un dispositif de formation sur les learning analytics dans le cadre du projet HyPE-13 (HYbrider et Partager les Enseignements) porté par un consortium de 12 universités françaises. L'article présente le dispositif ainsi qu'un modèle d'ingénierie pédagogique combinant hybridation et analytique d'apprentissage. (www.hype13.fr).","language":"fr","source":"hal-u-bordeaux-montaigne.archives-ouvertes.fr","title":"Penser l’hybridation avec l’appui des Learning Analytics : l’approche HyPE 13 pour la formation des enseignants","title-short":"Penser l’hybridation avec l’appui des Learning Analytics","URL":"https://hal-u-bordeaux-montaigne.archives-ouvertes.fr/hal-03659104","author":[{"family":"Bournaveas","given":"Véronique"},{"family":"Gueye","given":"Mamadou"},{"family":"Cimpan","given":"Sorana"},{"family":"Expósito","given":"Ernesto"}],"accessed":{"date-parts":[["2022",12,11]]},"issued":{"date-parts":[["2021",5,22]]}},"label":"page","suppress-author":true}],"schema":"https://github.com/citation-style-language/schema/raw/master/csl-citation.json"} </w:instrText>
      </w:r>
      <w:r w:rsidR="00B4486E" w:rsidRPr="00951F0E">
        <w:fldChar w:fldCharType="separate"/>
      </w:r>
      <w:r w:rsidR="00B4486E" w:rsidRPr="00951F0E">
        <w:rPr>
          <w:rFonts w:cs="Times"/>
        </w:rPr>
        <w:t>(2021)</w:t>
      </w:r>
      <w:r w:rsidR="00B4486E" w:rsidRPr="00951F0E">
        <w:fldChar w:fldCharType="end"/>
      </w:r>
      <w:r w:rsidR="00B4486E" w:rsidRPr="00951F0E">
        <w:t xml:space="preserve">, </w:t>
      </w:r>
      <w:r w:rsidR="00FC407E" w:rsidRPr="00951F0E">
        <w:t>f</w:t>
      </w:r>
      <w:r w:rsidR="00B4486E" w:rsidRPr="00951F0E">
        <w:t xml:space="preserve">ont maintenant partie intégrante de notre enseignement supérieur, </w:t>
      </w:r>
      <w:r w:rsidR="00F12A6F" w:rsidRPr="00951F0E">
        <w:t>s’appuie</w:t>
      </w:r>
      <w:r w:rsidR="00666F9D" w:rsidRPr="00951F0E">
        <w:t xml:space="preserve">nt sur un large </w:t>
      </w:r>
      <w:r w:rsidR="00B53978" w:rsidRPr="00951F0E">
        <w:t>éventail</w:t>
      </w:r>
      <w:r w:rsidR="00666F9D" w:rsidRPr="00951F0E">
        <w:t xml:space="preserve"> d’</w:t>
      </w:r>
      <w:r w:rsidR="00FF33F4" w:rsidRPr="00951F0E">
        <w:t xml:space="preserve">autres </w:t>
      </w:r>
      <w:r w:rsidR="00666F9D" w:rsidRPr="00951F0E">
        <w:t>outils numériques</w:t>
      </w:r>
      <w:r w:rsidR="003B7189" w:rsidRPr="00951F0E">
        <w:t xml:space="preserve"> </w:t>
      </w:r>
      <w:r w:rsidR="003B7189" w:rsidRPr="00951F0E">
        <w:fldChar w:fldCharType="begin"/>
      </w:r>
      <w:r w:rsidR="00614991">
        <w:instrText xml:space="preserve"> ADDIN ZOTERO_ITEM CSL_CITATION {"citationID":"UsQDheBP","properties":{"formattedCitation":"(Martinet et al., 2022)","plainCitation":"(Martinet et al., 2022)","noteIndex":0},"citationItems":[{"id":51,"uris":["http://zotero.org/users/2500092/items/YY4D6XEP"],"itemData":{"id":51,"type":"paper-conference","container-title":"Questions de Pédagogie dans l'Enseignement Supérieur","event-place":"La Rochelle, France","publisher-place":"La Rochelle, France","source":"HAL Archives Ouvertes","title":"Vers un outil d'accompagnement pour l'hybridation de situations pédagogiques","URL":"https://hal.archives-ouvertes.fr/hal-03583964","author":[{"family":"Martinet","given":"Benoit"},{"family":"Lebis","given":"Alexis"},{"family":"Vermeulen","given":"Mathieu"}],"accessed":{"date-parts":[["2022",12,9]]},"issued":{"date-parts":[["2022",1]]}}}],"schema":"https://github.com/citation-style-language/schema/raw/master/csl-citation.json"} </w:instrText>
      </w:r>
      <w:r w:rsidR="003B7189" w:rsidRPr="00951F0E">
        <w:fldChar w:fldCharType="separate"/>
      </w:r>
      <w:r w:rsidR="003B7189" w:rsidRPr="00951F0E">
        <w:rPr>
          <w:rFonts w:cs="Times"/>
        </w:rPr>
        <w:t>(Martinet et al., 2022)</w:t>
      </w:r>
      <w:r w:rsidR="003B7189" w:rsidRPr="00951F0E">
        <w:fldChar w:fldCharType="end"/>
      </w:r>
      <w:r w:rsidR="00F202AD" w:rsidRPr="00951F0E">
        <w:t xml:space="preserve"> comme les outils d’édition collaborative de documents ou les tableaux blancs en ligne</w:t>
      </w:r>
      <w:r w:rsidR="00596EFD" w:rsidRPr="00951F0E">
        <w:t>.</w:t>
      </w:r>
      <w:r w:rsidR="00E9795B">
        <w:t xml:space="preserve"> </w:t>
      </w:r>
      <w:r w:rsidR="00213C0E">
        <w:t>Cependant, p</w:t>
      </w:r>
      <w:r w:rsidR="00EE2780">
        <w:t>arce qu'ils génèrent des tra</w:t>
      </w:r>
      <w:r w:rsidR="00F56497">
        <w:t xml:space="preserve">ces numériques </w:t>
      </w:r>
      <w:r w:rsidR="00F56497">
        <w:fldChar w:fldCharType="begin"/>
      </w:r>
      <w:r w:rsidR="00614991">
        <w:instrText xml:space="preserve"> ADDIN ZOTERO_ITEM CSL_CITATION {"citationID":"SYMVmlc5","properties":{"formattedCitation":"(Hakimi et al., 2021; Wilson et al., 2017)","plainCitation":"(Hakimi et al., 2021; Wilson et al., 2017)","noteIndex":0},"citationItems":[{"id":753,"uris":["http://zotero.org/users/2500092/items/VZ9SI3SL"],"itemData":{"id":753,"type":"article-journal","abstract":"This article presents the findings of a systematic qualitative analysis of research in the ethics of digital trace data use in learning and education. From the resulting analysis of 77 peer-reviewed studies, we (1) map the characteristics of research by study type, academic community, institutional setting, and national context; (2) identify the primary ethical concerns and related responses; and (3) highlight the research gaps. Four areas of focus are identified in this emerging area: (1) privacy, informed consent, and data ownership; (2) validity and integrity; (3) ethical decision making; and (4) governance and accountability. We highlight the lack of evidence particularly for preschool and school-aged children and the disparate communities working in this domain, and we suggest a more cohesive approach, where the wider learning and educational ecosystem is recognized, explicit engagement with ethical theory is central, and mid- to long-term ethical issues are considered alongside immediate concerns.","container-title":"Review of Educational Research","DOI":"10.3102/00346543211020116","ISSN":"0034-6543","issue":"5","journalAbbreviation":"Review of Educational Research","language":"en","note":"publisher: American Educational Research Association","page":"671-717","source":"SAGE Journals","title":"The Ethics of Using Digital Trace Data in Education: A Thematic Review of the Research Landscape","title-short":"The Ethics of Using Digital Trace Data in Education","volume":"91","author":[{"family":"Hakimi","given":"Laura"},{"family":"Eynon","given":"Rebecca"},{"family":"Murphy","given":"Victoria A."}],"issued":{"date-parts":[["2021",10,1]]}}},{"id":1090,"uris":["http://zotero.org/users/2500092/items/2YPALK5G"],"itemData":{"id":1090,"type":"article-journal","abstract":"Learning analytic implementations are increasingly being included in learning management systems in higher education. We lay out some concerns with the way learning analytics – both data and algorithms – are often presented within an unproblematized Big Data discourse. We describe some potential problems with the often implicit assumptions about learning and learners – and indeed the tendency not to theorize learning explicitly – that underpin such implementations. Finally, we describe an attempt to devise our own analytics, grounded in a sociomaterial conception of learning. We use the data obtained to suggest that the relationships between learning and the digital traces left by participants in online learning are far from trivial, and that any analytics that relies on these as proxies for learning tends towards a behaviorist evaluation of learning processes.","container-title":"Teaching in Higher Education","DOI":"10.1080/13562517.2017.1332026","ISSN":"1356-2517","issue":"8","note":"publisher: Routledge\n_eprint: https://doi.org/10.1080/13562517.2017.1332026","page":"991-1007","source":"Taylor and Francis+NEJM","title":"Learning analytics: challenges and limitations","title-short":"Learning analytics","volume":"22","author":[{"family":"Wilson","given":"Anna"},{"family":"Watson","given":"Cate"},{"family":"Thompson","given":"Terrie Lynn"},{"family":"Drew","given":"Valerie"},{"family":"Doyle","given":"Sarah"}],"issued":{"date-parts":[["2017",11,17]]}}}],"schema":"https://github.com/citation-style-language/schema/raw/master/csl-citation.json"} </w:instrText>
      </w:r>
      <w:r w:rsidR="00F56497">
        <w:fldChar w:fldCharType="separate"/>
      </w:r>
      <w:r w:rsidR="00F56497" w:rsidRPr="00F56497">
        <w:rPr>
          <w:rFonts w:cs="Times"/>
        </w:rPr>
        <w:t>(Hakimi et al., 2021; Wilson et al., 2017)</w:t>
      </w:r>
      <w:r w:rsidR="00F56497">
        <w:fldChar w:fldCharType="end"/>
      </w:r>
      <w:r w:rsidR="00EE2780">
        <w:t xml:space="preserve"> et qu'ils peuvent être</w:t>
      </w:r>
      <w:r w:rsidR="009E5D15">
        <w:t xml:space="preserve"> algorithmiquement</w:t>
      </w:r>
      <w:r w:rsidR="00EE2780">
        <w:t xml:space="preserve"> biaisés </w:t>
      </w:r>
      <w:r w:rsidR="008B1758">
        <w:fldChar w:fldCharType="begin"/>
      </w:r>
      <w:r w:rsidR="00614991">
        <w:instrText xml:space="preserve"> ADDIN ZOTERO_ITEM CSL_CITATION {"citationID":"asFdklji","properties":{"formattedCitation":"(Boratto et al., 2019; Howard &amp; Borenstein, 2018; Vlasceanu &amp; Amodio, 2022)","plainCitation":"(Boratto et al., 2019; Howard &amp; Borenstein, 2018; Vlasceanu &amp; Amodio, 2022)","noteIndex":0},"citationItems":[{"id":928,"uris":["http://zotero.org/users/2500092/items/HEJQIMPG"],"itemData":{"id":928,"type":"paper-conference","abstract":"Most recommender systems are evaluated on how they accurately predict user ratings. However, individuals use them for more than an anticipation of their preferences. The literature demonstrated that some recommendation algorithms achieve good prediction accuracy, but suffer from popularity bias. Other algorithms generate an item category bias due to unbalanced rating distributions across categories. These effects have been widely analyzed in the context of books, movies, music, and tourism, but contrasting conclusions have been reached so far. In this paper, we explore how recommender systems work in the context of massive open online courses, going beyond prediction accuracy. To this end, we compared existing algorithms and their recommended lists against biases related to course popularity, catalog coverage, and course category popularity. Our study remarks even more the need of better understanding how recommenders react against bias in diverse contexts.","collection-title":"Lecture Notes in Computer Science","container-title":"Advances in Information Retrieval","DOI":"10.1007/978-3-030-15712-8_30","event-place":"Cham","ISBN":"978-3-030-15712-8","language":"en","page":"457-472","publisher":"Springer International Publishing","publisher-place":"Cham","source":"Springer Link","title":"The Effect of Algorithmic Bias on Recommender Systems for Massive Open Online Courses","author":[{"family":"Boratto","given":"Ludovico"},{"family":"Fenu","given":"Gianni"},{"family":"Marras","given":"Mirko"}],"editor":[{"family":"Azzopardi","given":"Leif"},{"family":"Stein","given":"Benno"},{"family":"Fuhr","given":"Norbert"},{"family":"Mayr","given":"Philipp"},{"family":"Hauff","given":"Claudia"},{"family":"Hiemstra","given":"Djoerd"}],"issued":{"date-parts":[["2019"]]}}},{"id":1061,"uris":["http://zotero.org/users/2500092/items/6YVKTNTQ"],"itemData":{"id":1061,"type":"article-journal","abstract":"Recently, there has been an upsurge of attention focused on bias and its impact on specialized artificial intelligence (AI) applications. Allegations of racism and sexism have permeated the conversation as stories surface about search engines delivering job postings for well-paying technical jobs to men and not women, or providing arrest mugshots when keywords such as “black teenagers” are entered. Learning algorithms are evolving; they are often created from parsing through large datasets of online information while having truth labels bestowed on them by crowd-sourced masses. These specialized AI algorithms have been liberated from the minds of researchers and startups, and released onto the public. Yet intelligent though they may be, these algorithms maintain some of the same biases that permeate society. They find patterns within datasets that reflect implicit biases and, in so doing, emphasize and reinforce these biases as global truth. This paper describes specific examples of how bias has infused itself into current AI and robotic systems, and how it may affect the future design of such systems. More specifically, we draw attention to how bias may affect the functioning of (1) a robot peacekeeper, (2) a self-driving car, and (3) a medical robot. We conclude with an overview of measures that could be taken to mitigate or halt bias from permeating robotic technology.","container-title":"Science and Engineering Ethics","DOI":"10.1007/s11948-017-9975-2","ISSN":"1471-5546","issue":"5","journalAbbreviation":"Science and Engineering Ethics","language":"en","page":"1521-1536","source":"Springer Link","title":"The Ugly Truth About Ourselves and Our Robot Creations: The Problem of Bias and Social Inequity","title-short":"The Ugly Truth About Ourselves and Our Robot Creations","volume":"24","author":[{"family":"Howard","given":"Ayanna"},{"family":"Borenstein","given":"Jason"}],"issued":{"date-parts":[["2018",10,1]]}}},{"id":944,"uris":["http://zotero.org/users/2500092/items/BVQAN7SB"],"itemData":{"id":944,"type":"article-journal","container-title":"Proceedings of the National Academy of Sciences","DOI":"10.1073/pnas.2204529119","issue":"29","note":"publisher: Proceedings of the National Academy of Sciences","page":"e2204529119","source":"pnas.org (Atypon)","title":"Propagation of societal gender inequality by internet search algorithms","volume":"119","author":[{"family":"Vlasceanu","given":"Madalina"},{"family":"Amodio","given":"David M."}],"issued":{"date-parts":[["2022",7,19]]}}}],"schema":"https://github.com/citation-style-language/schema/raw/master/csl-citation.json"} </w:instrText>
      </w:r>
      <w:r w:rsidR="008B1758">
        <w:fldChar w:fldCharType="separate"/>
      </w:r>
      <w:r w:rsidR="001A640C" w:rsidRPr="001A640C">
        <w:rPr>
          <w:rFonts w:cs="Times"/>
        </w:rPr>
        <w:t>(Boratto et al., 2019; Howard &amp; Borenstein, 2018; Vlasceanu &amp; Amodio, 2022)</w:t>
      </w:r>
      <w:r w:rsidR="008B1758">
        <w:fldChar w:fldCharType="end"/>
      </w:r>
      <w:r w:rsidR="00B4486E">
        <w:t xml:space="preserve"> </w:t>
      </w:r>
      <w:r w:rsidR="004E0849">
        <w:t xml:space="preserve">– </w:t>
      </w:r>
      <w:r w:rsidR="00B4486E">
        <w:t xml:space="preserve">entre autres </w:t>
      </w:r>
      <w:r w:rsidR="004E0849">
        <w:t xml:space="preserve">– </w:t>
      </w:r>
      <w:r w:rsidR="00B4486E">
        <w:t>l</w:t>
      </w:r>
      <w:r w:rsidR="00EE2780">
        <w:t>es outils</w:t>
      </w:r>
      <w:r w:rsidR="00B4486E">
        <w:t xml:space="preserve"> numériques</w:t>
      </w:r>
      <w:r w:rsidR="00EE2780">
        <w:t xml:space="preserve"> </w:t>
      </w:r>
      <w:r w:rsidR="00813410">
        <w:t>présentent des risques</w:t>
      </w:r>
      <w:r w:rsidR="004171D9">
        <w:t xml:space="preserve"> potentiellement importants</w:t>
      </w:r>
      <w:r w:rsidR="00163EB0">
        <w:t xml:space="preserve"> pour les </w:t>
      </w:r>
      <w:proofErr w:type="spellStart"/>
      <w:r w:rsidR="00163EB0">
        <w:t>utilisateur·rices</w:t>
      </w:r>
      <w:proofErr w:type="spellEnd"/>
      <w:r w:rsidR="00913F75">
        <w:t>.</w:t>
      </w:r>
      <w:r w:rsidR="008E45FE">
        <w:t xml:space="preserve"> </w:t>
      </w:r>
      <w:r w:rsidR="00E833ED">
        <w:t>M</w:t>
      </w:r>
      <w:r w:rsidR="00614991">
        <w:t>et</w:t>
      </w:r>
      <w:r w:rsidR="00E833ED">
        <w:t>tant</w:t>
      </w:r>
      <w:r w:rsidR="00614991">
        <w:t xml:space="preserve"> ainsi en tension </w:t>
      </w:r>
      <w:r w:rsidR="00314197">
        <w:t>pratiques</w:t>
      </w:r>
      <w:r w:rsidR="00243A93">
        <w:t xml:space="preserve"> et</w:t>
      </w:r>
      <w:r w:rsidR="00614991">
        <w:t xml:space="preserve"> valeurs </w:t>
      </w:r>
      <w:r w:rsidR="00243A93">
        <w:t>dans un</w:t>
      </w:r>
      <w:r w:rsidR="00614991">
        <w:t xml:space="preserve"> </w:t>
      </w:r>
      <w:r w:rsidR="00F61652">
        <w:t>environnement</w:t>
      </w:r>
      <w:r w:rsidR="00614991">
        <w:t xml:space="preserve"> </w:t>
      </w:r>
      <w:r w:rsidR="00431B7A">
        <w:t>sociotechnique</w:t>
      </w:r>
      <w:r w:rsidR="00937384">
        <w:t xml:space="preserve"> de plus en plus</w:t>
      </w:r>
      <w:bookmarkStart w:id="1" w:name="_GoBack"/>
      <w:bookmarkEnd w:id="1"/>
      <w:r w:rsidR="00243A93">
        <w:t xml:space="preserve"> complexe</w:t>
      </w:r>
      <w:r w:rsidR="00614991">
        <w:t xml:space="preserve"> </w:t>
      </w:r>
      <w:r w:rsidR="00614991">
        <w:fldChar w:fldCharType="begin"/>
      </w:r>
      <w:r w:rsidR="00614991">
        <w:instrText xml:space="preserve"> ADDIN ZOTERO_ITEM CSL_CITATION {"citationID":"PnrljeqD","properties":{"formattedCitation":"(Albero, 2010)","plainCitation":"(Albero, 2010)","noteIndex":0},"citationItems":[{"id":3123,"uris":["http://zotero.org/users/2500092/items/FVSAHEQY"],"itemData":{"id":3123,"type":"article-journal","abstract":"Une étude intégrée des multiples aspects qui déterminent le rôle des objets techniques dans les environnements d’éducation et de formation implique une démarche de type compréhensif, particulièrement difficile à tenir. Dans ce domaine, la recherche s’attache le plus souvent soit aux outils techniques et à la conception des ressources, soit aux usages et aux processus d’apprentissage des sujets. Ce texte s’attache à définir une approche plus large qui puisse rendre compte et des contraintes imposées par les propriétés techniques des objets et de la configuration dynamique de leurs usages par les acteurs en situation. Une première partie aborde la dimension épistémique du problème, en exposant les éléments du cadre théorique et des concepts qui se sont avérés opératoires sur le terrain. La deuxième partie traite de dimensions pragmatiques en analysant l’articulation entre modèles théoriques de l’apprentissage, types de pédagogies et fonctions dévolues aux objets techniques. Une troisième partie aborde la dimension éthique qui conduit à interroger le présupposé de neutralité des technologies dans les pratiques de formation et de recherche, en montrant comment les finalités, les modèles et les valeurs propres aux acteurs orientent et régulent leur activité.","container-title":"Éducation et didactique","DOI":"10.4000/educationdidactique.715","ISSN":"1956-3485","issue":"4-1","language":"fr","license":"https://creativecommons.org/licenses/by-nc-nd/4.0/","note":"ISBN: 9782753511187\nnumber: 4-1\npublisher: Presses universitaires de Rennes","page":"7-24","source":"journals.openedition.org","title":"Une approche sociotechnique des environnements de formation","author":[{"family":"Albero","given":"Brigitte"}],"issued":{"date-parts":[["2010",5,1]]}}}],"schema":"https://github.com/citation-style-language/schema/raw/master/csl-citation.json"} </w:instrText>
      </w:r>
      <w:r w:rsidR="00614991">
        <w:fldChar w:fldCharType="separate"/>
      </w:r>
      <w:r w:rsidR="00614991" w:rsidRPr="00614991">
        <w:rPr>
          <w:rFonts w:cs="Times"/>
        </w:rPr>
        <w:t>(</w:t>
      </w:r>
      <w:proofErr w:type="spellStart"/>
      <w:r w:rsidR="00614991" w:rsidRPr="00614991">
        <w:rPr>
          <w:rFonts w:cs="Times"/>
        </w:rPr>
        <w:t>Albero</w:t>
      </w:r>
      <w:proofErr w:type="spellEnd"/>
      <w:r w:rsidR="00614991" w:rsidRPr="00614991">
        <w:rPr>
          <w:rFonts w:cs="Times"/>
        </w:rPr>
        <w:t>, 2010)</w:t>
      </w:r>
      <w:r w:rsidR="00614991">
        <w:fldChar w:fldCharType="end"/>
      </w:r>
      <w:r w:rsidR="00614991">
        <w:t xml:space="preserve">, </w:t>
      </w:r>
      <w:r w:rsidR="00E833ED">
        <w:t xml:space="preserve">cette transformation rapide de l’enseignement supérieur </w:t>
      </w:r>
      <w:r w:rsidR="009D46CD">
        <w:t xml:space="preserve">soulève </w:t>
      </w:r>
      <w:r w:rsidR="001704DE">
        <w:t>des</w:t>
      </w:r>
      <w:r w:rsidR="008E45FE">
        <w:t xml:space="preserve"> questions éthiques </w:t>
      </w:r>
      <w:r w:rsidR="001704DE">
        <w:t xml:space="preserve">essentielles </w:t>
      </w:r>
      <w:r w:rsidR="00C05644">
        <w:t>encore trop peu abordées</w:t>
      </w:r>
      <w:r w:rsidR="00EE2780">
        <w:t>.</w:t>
      </w:r>
    </w:p>
    <w:p w14:paraId="75E98868" w14:textId="2137B8BF" w:rsidR="00F029DE" w:rsidRDefault="004705A9" w:rsidP="00F029DE">
      <w:r>
        <w:t>En effet, a</w:t>
      </w:r>
      <w:r w:rsidR="00F029DE">
        <w:t xml:space="preserve">lors que la nécessité de développer la compétence numérique des </w:t>
      </w:r>
      <w:proofErr w:type="spellStart"/>
      <w:r w:rsidR="00F029DE">
        <w:t>enseignant</w:t>
      </w:r>
      <w:r w:rsidR="003474C2">
        <w:t>·e</w:t>
      </w:r>
      <w:r w:rsidR="00F029DE">
        <w:t>s</w:t>
      </w:r>
      <w:proofErr w:type="spellEnd"/>
      <w:r w:rsidR="00F029DE">
        <w:t xml:space="preserve"> (y compris l'utilisation des </w:t>
      </w:r>
      <w:r w:rsidR="00E15B3C">
        <w:t>outils numériques</w:t>
      </w:r>
      <w:r w:rsidR="00F029DE">
        <w:t xml:space="preserve">) est clairement identifiée </w:t>
      </w:r>
      <w:r w:rsidR="003E047B">
        <w:fldChar w:fldCharType="begin"/>
      </w:r>
      <w:r w:rsidR="00614991">
        <w:instrText xml:space="preserve"> ADDIN ZOTERO_ITEM CSL_CITATION {"citationID":"LROePe2K","properties":{"formattedCitation":"(Amhag et al., 2019)","plainCitation":"(Amhag et al., 2019)","noteIndex":0},"citationItems":[{"id":1047,"uris":["http://zotero.org/users/2500092/items/YE2HJE5Y"],"itemData":{"id":1047,"type":"article-journal","abstract":"Based on a study at two Swedish universities, this article aimed to identify teacher educators' use of digital tools and subsequent need for digital competence in higher education. Methodically, a digital survey was distributed via e-mail to 405 teacher educators representing two faculties at the two universities; in total, 105 teacher educators responded. The survey included 16 questions, with closed- and open-ended varieties. Two theoretical foundations were used: the TPACK model and, as a complement, computer self-efficacy. Through analysis of self-reported use, competence, and need for professional training in digitalization in teaching, results show that teacher educators do not use digital tools primarily for pedagogical purposes. Thus, they need extensive pedagogical support in creating digital teaching. Further, teacher educators need to identify the pedagogical surplus value in their own teaching and learning context with digital tools to increase motivation for concrete, effective, and subject-oriented successful examples as presented by experienced teachers.","container-title":"Journal of Digital Learning in Teacher Education","DOI":"10.1080/21532974.2019.1646169","ISSN":"2153-2974","issue":"4","note":"publisher: Routledge\n_eprint: https://doi.org/10.1080/21532974.2019.1646169","page":"203-220","source":"Taylor and Francis+NEJM","title":"Teacher Educators' Use of Digital Tools and Needs for Digital Competence in Higher Education","volume":"35","author":[{"family":"Amhag","given":"Lisbeth"},{"family":"Hellström","given":"Lisa"},{"family":"Stigmar","given":"Martin"}],"issued":{"date-parts":[["2019",10,2]]}}}],"schema":"https://github.com/citation-style-language/schema/raw/master/csl-citation.json"} </w:instrText>
      </w:r>
      <w:r w:rsidR="003E047B">
        <w:fldChar w:fldCharType="separate"/>
      </w:r>
      <w:r w:rsidR="003E047B" w:rsidRPr="003E047B">
        <w:rPr>
          <w:rFonts w:cs="Times"/>
        </w:rPr>
        <w:t>(Amhag et al., 2019)</w:t>
      </w:r>
      <w:r w:rsidR="003E047B">
        <w:fldChar w:fldCharType="end"/>
      </w:r>
      <w:r w:rsidR="00F029DE">
        <w:t xml:space="preserve"> et qu'une </w:t>
      </w:r>
      <w:r w:rsidR="00990B32">
        <w:t>partie</w:t>
      </w:r>
      <w:r w:rsidR="00F029DE">
        <w:t xml:space="preserve"> croissante des programmes de formation des </w:t>
      </w:r>
      <w:proofErr w:type="spellStart"/>
      <w:r w:rsidR="00F029DE">
        <w:t>enseignant</w:t>
      </w:r>
      <w:r w:rsidR="003474C2">
        <w:t>·e</w:t>
      </w:r>
      <w:r w:rsidR="00F029DE">
        <w:t>s</w:t>
      </w:r>
      <w:proofErr w:type="spellEnd"/>
      <w:r w:rsidR="00F029DE">
        <w:t xml:space="preserve"> l'aborde</w:t>
      </w:r>
      <w:r w:rsidR="003E047B">
        <w:t xml:space="preserve"> </w:t>
      </w:r>
      <w:r w:rsidR="003E047B">
        <w:fldChar w:fldCharType="begin"/>
      </w:r>
      <w:r w:rsidR="00614991">
        <w:instrText xml:space="preserve"> ADDIN ZOTERO_ITEM CSL_CITATION {"citationID":"I8GQpab6","properties":{"formattedCitation":"(Pinto-Santos et al., 2022; Tondeur et al., 2018)","plainCitation":"(Pinto-Santos et al., 2022; Tondeur et al., 2018)","noteIndex":0},"citationItems":[{"id":1087,"uris":["http://zotero.org/users/2500092/items/V5DCA7J9"],"itemData":{"id":1087,"type":"article-journal","abstract":"This article presents the results of a systematic review of different studies published in high-impact journals on the development of teaching digital competence (TDC) in initial teacher training. The methodology of the study is based on the documentary research approach, with the application of a systematic literature review covering the period between 2009 and 2019 in different databases. The sample is made up of 102 articles that are registered in a multidimensional analysis and classification matrix. One of the main findings is that in the last ten years there has been a significant increase in the literature related to teaching digital competence with the prevailing use of the quantitative methodological approach. Likewise, 50.98% of the articles are the result of the application of instruments to assess TDC. &amp;nbsp;It can be concluded that TDC is a line of research with multiple dimensions of analysis and in constant evolution.\nKeywords:&amp;nbsp;teaching digital competence, initial teacher training,&amp;nbsp;educational technology, information, communication technology, systematic review","container-title":"World Journal on Educational Technology: Current Issues","DOI":"10.18844/wjet.v14i1.6250","ISSN":"1309-0348","issue":"1","language":"en","license":"Copyright (c) 2022 World Journal on Educational Technology: Current Issues","note":"number: 1","page":"01-15","source":"un-pub.eu","title":"Development of teaching digital competence in initial teacher training: A systematic review.","title-short":"Development of teaching digital competence in initial teacher training","volume":"14","author":[{"family":"Pinto-Santos","given":"Alba R."},{"family":"Garcias","given":"Adolfina Pérez"},{"family":"Garcias","given":"Antonia Pérez"}],"issued":{"date-parts":[["2022",1,31]]}}},{"id":1086,"uris":["http://zotero.org/users/2500092/items/NXXCSN7Y"],"itemData":{"id":1086,"type":"article-journal","abstract":"Few empirical studies investigate the impact of pre-service teachers' background and ICT profile in combination with the support they receive from their teacher training institution on their ICT competencies. Moreover, research focusing on preparing future teachers for ICT integration is generally limited to the impact of one single strategy. Therefore, the aim of this study was to test a model to explain pre-service teachers' perceived ICT competencies that integrates pre-service teachers' background characteristics (age and gender), their ICT profile (e.g., attitudes towards ICT) and the multiple strategies pre-service teachers experience in their teacher training institution: 1) using teacher educators as role models, 2) reflecting on the role of technology in education, 3) learning how to use technology by design, 4) collaboration with peers, 5) scaffolding authentic technology experiences, and 6) continuous feedback. Based on a survey among 931 final-year pre-service teachers in Flanders (Belgium), the multilevel analyses indicated a positive association between the strategies and pre-service teachers' ICT competencies. The more pre-service teachers perceive the occurrences of the strategies during their teacher education, the higher their perceived competence to use ICT for learning processes and to strengthen their instructional practice. Gender and age did not affect pre-service teachers' ICT competence for educational practice. Furthermore, the results revealed a positive impact of pre-service teachers’ attitudes towards ICT (in education) and ease of use, on their ICT competence for educational practice. These results can provide guidance for the preparation of pre-service teachers for the 21st century learning environments with new technologies.","container-title":"Computers &amp; Education","DOI":"10.1016/j.compedu.2018.03.002","ISSN":"0360-1315","journalAbbreviation":"Computers &amp; Education","language":"en","page":"32-42","source":"ScienceDirect","title":"A multilevel analysis of what matters in the training of pre-service teacher's ICT competencies","volume":"122","author":[{"family":"Tondeur","given":"Jo"},{"family":"Aesaert","given":"Koen"},{"family":"Prestridge","given":"Sarah"},{"family":"Consuegra","given":"Els"}],"issued":{"date-parts":[["2018",7,1]]}}}],"schema":"https://github.com/citation-style-language/schema/raw/master/csl-citation.json"} </w:instrText>
      </w:r>
      <w:r w:rsidR="003E047B">
        <w:fldChar w:fldCharType="separate"/>
      </w:r>
      <w:r w:rsidR="003E047B" w:rsidRPr="003E047B">
        <w:rPr>
          <w:rFonts w:cs="Times"/>
        </w:rPr>
        <w:t>(Pinto-Santos et al., 2022; Tondeur et al., 2018)</w:t>
      </w:r>
      <w:r w:rsidR="003E047B">
        <w:fldChar w:fldCharType="end"/>
      </w:r>
      <w:r w:rsidR="00F029DE">
        <w:t>, les considérations éthiques sont généralement remarquablement absentes de leurs descriptions</w:t>
      </w:r>
      <w:r w:rsidR="00E35F1D">
        <w:t xml:space="preserve"> </w:t>
      </w:r>
      <w:r w:rsidR="00604DFA">
        <w:fldChar w:fldCharType="begin"/>
      </w:r>
      <w:r w:rsidR="00614991">
        <w:instrText xml:space="preserve"> ADDIN ZOTERO_ITEM CSL_CITATION {"citationID":"QzO2zj5v","properties":{"formattedCitation":"(\\uc0\\u214{}rtegren, 2022)","plainCitation":"(Örtegren, 2022)","noteIndex":0},"citationItems":[{"id":1058,"uris":["http://zotero.org/users/2500092/items/ZYCFF88L"],"itemData":{"id":1058,"type":"article-journal","abstract":"Teacher education (TE) is not only about skills and knowledge but also about citizenship formation as student teachers are prepared for the democratic assignment of school. In a postdigital era, blurred boundaries between digital technologies and physical reality place new demands on citizenship, teacher education institutions (TEIs), and teacher educators (TEDs). This paper explores Swedish TEDs’ views of digital citizenship and the professional digital competence (PDC) required for teaching subject student teachers to teach for digital citizenship. Seven TEIs participated and 16 semi-structured interviews were conducted with TEDs teaching a Core Education Subjects module on education and democracy mandatory for all student teachers. TEDs generally believe that the digitalization of society impacts the democratic assignment and addressing this requires specific PDC. Conceptualizations of digital citizenship tend to foreground source criticism as well as ethical, safe, and sound use of digital technologies, and to some degree also (im-)material means of democratic participation. While generally believing that TE should address questions relating to digital citizenship and that TEDs have an important role in this regard, digital technologies are discussed in the module coincidentally and TEDs are unsure to what degree student teachers receive such training. Challenges include lack of time and unclear Degree Objectives. To develop TEDs’ PDC to include questions relating to digital citizenship in their teaching, support is needed through policy and continuous professional development for TEDs, including reviews of course content and program structure. Future TE research needs to explore digital citizenship in the school subject social studies.","container-title":"Postdigital Science and Education","DOI":"10.1007/s42438-022-00291-7","ISSN":"2524-4868","issue":"2","journalAbbreviation":"Postdigit Sci Educ","language":"en","page":"467-493","source":"Springer Link","title":"Digital Citizenship and Professional Digital Competence — Swedish Subject Teacher Education in a Postdigital Era","volume":"4","author":[{"family":"Örtegren","given":"Alex"}],"issued":{"date-parts":[["2022",4,1]]}}}],"schema":"https://github.com/citation-style-language/schema/raw/master/csl-citation.json"} </w:instrText>
      </w:r>
      <w:r w:rsidR="00604DFA">
        <w:fldChar w:fldCharType="separate"/>
      </w:r>
      <w:r w:rsidR="00604DFA" w:rsidRPr="00604DFA">
        <w:rPr>
          <w:rFonts w:cs="Times"/>
          <w:szCs w:val="24"/>
        </w:rPr>
        <w:t>(Örtegren, 2022)</w:t>
      </w:r>
      <w:r w:rsidR="00604DFA">
        <w:fldChar w:fldCharType="end"/>
      </w:r>
      <w:r w:rsidR="00F029DE">
        <w:t>. Cette situation est d'autant plus problématique que le</w:t>
      </w:r>
      <w:r w:rsidR="00B46517">
        <w:t xml:space="preserve"> développement</w:t>
      </w:r>
      <w:r w:rsidR="00F029DE">
        <w:t xml:space="preserve"> </w:t>
      </w:r>
      <w:r w:rsidR="00C856D1">
        <w:t xml:space="preserve">soutenu </w:t>
      </w:r>
      <w:r w:rsidR="00F029DE">
        <w:t>de</w:t>
      </w:r>
      <w:r w:rsidR="00B46517">
        <w:t>s</w:t>
      </w:r>
      <w:r w:rsidR="00F029DE">
        <w:t xml:space="preserve"> technologie</w:t>
      </w:r>
      <w:r w:rsidR="00B46517">
        <w:t>s</w:t>
      </w:r>
      <w:r w:rsidR="00F029DE">
        <w:t xml:space="preserve"> numérique</w:t>
      </w:r>
      <w:r w:rsidR="00B46517">
        <w:t>s</w:t>
      </w:r>
      <w:r w:rsidR="00F029DE">
        <w:t>, en particulier l'intelligence artificielle, créent de nouveaux défis</w:t>
      </w:r>
      <w:r w:rsidR="00AD1099">
        <w:t xml:space="preserve"> éthiques qui exigent qu’</w:t>
      </w:r>
      <w:proofErr w:type="spellStart"/>
      <w:r w:rsidR="00AD1099">
        <w:t>enseignant</w:t>
      </w:r>
      <w:r w:rsidR="003474C2">
        <w:t>·e</w:t>
      </w:r>
      <w:r w:rsidR="00AD1099">
        <w:t>s</w:t>
      </w:r>
      <w:proofErr w:type="spellEnd"/>
      <w:r w:rsidR="00AD1099">
        <w:t xml:space="preserve"> comme </w:t>
      </w:r>
      <w:proofErr w:type="spellStart"/>
      <w:r w:rsidR="00AD1099">
        <w:t>étudiant</w:t>
      </w:r>
      <w:r w:rsidR="003474C2">
        <w:t>·e</w:t>
      </w:r>
      <w:r w:rsidR="00AD1099">
        <w:t>s</w:t>
      </w:r>
      <w:proofErr w:type="spellEnd"/>
      <w:r w:rsidR="00F029DE">
        <w:t xml:space="preserve"> acquièrent de nouvelles connaissances </w:t>
      </w:r>
      <w:r w:rsidR="003474C2">
        <w:t xml:space="preserve">et compétences </w:t>
      </w:r>
      <w:r w:rsidR="00F029DE">
        <w:t>spécifiques</w:t>
      </w:r>
      <w:r w:rsidR="00036EC5">
        <w:t xml:space="preserve"> </w:t>
      </w:r>
      <w:r w:rsidR="00036EC5">
        <w:fldChar w:fldCharType="begin"/>
      </w:r>
      <w:r w:rsidR="00614991">
        <w:instrText xml:space="preserve"> ADDIN ZOTERO_ITEM CSL_CITATION {"citationID":"o1vgRmuH","properties":{"formattedCitation":"(Dwivedi et al., 2021)","plainCitation":"(Dwivedi et al., 2021)","noteIndex":0},"citationItems":[{"id":1099,"uris":["http://zotero.org/users/2500092/items/YATIHH3S"],"itemData":{"id":1099,"type":"article-journal","abstract":"As far back as the industrial revolution, significant development in technical innovation has succeeded in transforming numerous manual tasks and processes that had been in existence for decades where humans had reached the limits of physical capacity. Artificial Intelligence (AI) offers this same transformative potential for the augmentation and potential replacement of human tasks and activities within a wide range of industrial, intellectual and social applications. The pace of change for this new AI technological age is staggering, with new breakthroughs in algorithmic machine learning and autonomous decision-making, engendering new opportunities for continued innovation. The impact of AI could be significant, with industries ranging from: finance, healthcare, manufacturing, retail, supply chain, logistics and utilities, all potentially disrupted by the onset of AI technologies. The study brings together the collective insight from a number of leading expert contributors to highlight the significant opportunities, realistic assessment of impact, challenges and potential research agenda posed by the rapid emergence of AI within a number of domains: business and management, government, public sector, and science and technology. This research offers significant and timely insight to AI technology and its impact on the future of industry and society in general, whilst recognising the societal and industrial influence on pace and direction of AI development.","container-title":"International Journal of Information Management","DOI":"10.1016/j.ijinfomgt.2019.08.002","ISSN":"0268-4012","journalAbbreviation":"International Journal of Information Management","language":"en","page":"101994","source":"ScienceDirect","title":"Artificial Intelligence (AI): Multidisciplinary perspectives on emerging challenges, opportunities, and agenda for research, practice and policy","title-short":"Artificial Intelligence (AI)","volume":"57","author":[{"family":"Dwivedi","given":"Yogesh K."},{"family":"Hughes","given":"Laurie"},{"family":"Ismagilova","given":"Elvira"},{"family":"Aarts","given":"Gert"},{"family":"Coombs","given":"Crispin"},{"family":"Crick","given":"Tom"},{"family":"Duan","given":"Yanqing"},{"family":"Dwivedi","given":"Rohita"},{"family":"Edwards","given":"John"},{"family":"Eirug","given":"Aled"},{"family":"Galanos","given":"Vassilis"},{"family":"Ilavarasan","given":"P. Vigneswara"},{"family":"Janssen","given":"Marijn"},{"family":"Jones","given":"Paul"},{"family":"Kar","given":"Arpan Kumar"},{"family":"Kizgin","given":"Hatice"},{"family":"Kronemann","given":"Bianca"},{"family":"Lal","given":"Banita"},{"family":"Lucini","given":"Biagio"},{"family":"Medaglia","given":"Rony"},{"family":"Le Meunier-FitzHugh","given":"Kenneth"},{"family":"Le Meunier-FitzHugh","given":"Leslie Caroline"},{"family":"Misra","given":"Santosh"},{"family":"Mogaji","given":"Emmanuel"},{"family":"Sharma","given":"Sujeet Kumar"},{"family":"Singh","given":"Jang Bahadur"},{"family":"Raghavan","given":"Vishnupriya"},{"family":"Raman","given":"Ramakrishnan"},{"family":"Rana","given":"Nripendra P."},{"family":"Samothrakis","given":"Spyridon"},{"family":"Spencer","given":"Jak"},{"family":"Tamilmani","given":"Kuttimani"},{"family":"Tubadji","given":"Annie"},{"family":"Walton","given":"Paul"},{"family":"Williams","given":"Michael D."}],"issued":{"date-parts":[["2021",4,1]]}}}],"schema":"https://github.com/citation-style-language/schema/raw/master/csl-citation.json"} </w:instrText>
      </w:r>
      <w:r w:rsidR="00036EC5">
        <w:fldChar w:fldCharType="separate"/>
      </w:r>
      <w:r w:rsidR="00036EC5" w:rsidRPr="00036EC5">
        <w:rPr>
          <w:rFonts w:cs="Times"/>
        </w:rPr>
        <w:t>(Dwivedi et al., 2021)</w:t>
      </w:r>
      <w:r w:rsidR="00036EC5">
        <w:fldChar w:fldCharType="end"/>
      </w:r>
      <w:r w:rsidR="00F029DE">
        <w:t xml:space="preserve">. Dans les conclusions de leur revue </w:t>
      </w:r>
      <w:r w:rsidR="006840B0">
        <w:t>d</w:t>
      </w:r>
      <w:r w:rsidR="00812389">
        <w:t>es</w:t>
      </w:r>
      <w:r w:rsidR="007D648C">
        <w:t xml:space="preserve"> </w:t>
      </w:r>
      <w:r w:rsidR="006840B0">
        <w:t>pratiques</w:t>
      </w:r>
      <w:r w:rsidR="00F029DE">
        <w:t xml:space="preserve"> </w:t>
      </w:r>
      <w:r w:rsidR="006840B0">
        <w:t>d</w:t>
      </w:r>
      <w:r w:rsidR="00F029DE">
        <w:t xml:space="preserve">'enseignement et </w:t>
      </w:r>
      <w:r w:rsidR="006840B0">
        <w:t>d</w:t>
      </w:r>
      <w:r w:rsidR="00F029DE">
        <w:t xml:space="preserve">'apprentissage </w:t>
      </w:r>
      <w:r w:rsidR="006840B0">
        <w:t>en ligne</w:t>
      </w:r>
      <w:r w:rsidR="00F029DE">
        <w:t xml:space="preserve"> pendant la pandémie, </w:t>
      </w:r>
      <w:proofErr w:type="spellStart"/>
      <w:r w:rsidR="00F029DE">
        <w:t>Boghian</w:t>
      </w:r>
      <w:proofErr w:type="spellEnd"/>
      <w:r w:rsidR="00F029DE">
        <w:t xml:space="preserve">, </w:t>
      </w:r>
      <w:proofErr w:type="spellStart"/>
      <w:r w:rsidR="00F029DE">
        <w:t>Popescu</w:t>
      </w:r>
      <w:proofErr w:type="spellEnd"/>
      <w:r w:rsidR="00F029DE">
        <w:t xml:space="preserve"> et </w:t>
      </w:r>
      <w:proofErr w:type="spellStart"/>
      <w:r w:rsidR="00F029DE">
        <w:t>Ardeleanu</w:t>
      </w:r>
      <w:proofErr w:type="spellEnd"/>
      <w:r w:rsidR="00F029DE">
        <w:t xml:space="preserve"> </w:t>
      </w:r>
      <w:r w:rsidR="003A0935">
        <w:t>soulignent le besoin urgent de « </w:t>
      </w:r>
      <w:r w:rsidR="00F029DE">
        <w:t xml:space="preserve">former régulièrement les enseignants et les étudiants à l'utilisation éthique des </w:t>
      </w:r>
      <w:r w:rsidR="003A0935">
        <w:t xml:space="preserve">technologies de l'information » </w:t>
      </w:r>
      <w:r w:rsidR="003A0935">
        <w:fldChar w:fldCharType="begin"/>
      </w:r>
      <w:r w:rsidR="00614991">
        <w:instrText xml:space="preserve"> ADDIN ZOTERO_ITEM CSL_CITATION {"citationID":"vEQR8ws2","properties":{"formattedCitation":"(Boghian et al., 2022)","plainCitation":"(Boghian et al., 2022)","noteIndex":0},"citationItems":[{"id":1057,"uris":["http://zotero.org/users/2500092/items/JNJVRUDX"],"itemData":{"id":1057,"type":"chapter","abstract":"In the context of the COVID-19 pandemic, when a relevant amount of education at all levels has shifted online, there has occurred a series of unprecedented issues related to ethical technology use by teachers and students. Behind the anxiety generated by the online teaching–learning environment and the joy of discovering the benefits of online education of both teachers and students, there have been reports of serious unethical technology use issues manifested as, for example, violations of the General Data Protection Regulation, of intellectual and authorship rights, software piracy. Such issues call for immediate response aimed at diminishing and controlling unethical technology use in online teaching. To this effect, this paper aims to outline the problems connected to online (un)ethical teaching and provide a series of guidelines to be included in the teacher training curriculum as soon as possible. Our proposal provides possible solutions to such issues as the recording of online teaching sessions without the consent of the participants and use of the recording by third parties for various purposes; attendance of third parties to online teaching sessions without the participants—teacher and/or students—being aware of a third party’s presence in the online meeting; decreased motivation of both teachers and students to participate and give their best to the online teaching–learning process.","collection-title":"EAI/Springer Innovations in Communication and Computing","container-title":"Ethical Use of Information Technology in Higher Education","event-place":"Singapore","ISBN":"9789811619519","language":"en","note":"DOI: 10.1007/978-981-16-1951-9_13","page":"195-209","publisher":"Springer","publisher-place":"Singapore","source":"Springer Link","title":"Responsible Online Ethical Teaching in Higher Education During the COVID-19 Pandemic","URL":"https://doi.org/10.1007/978-981-16-1951-9_13","author":[{"family":"Boghian","given":"Ioana"},{"family":"Popescu","given":"Carmen-Violeta"},{"family":"Ardeleanu","given":"Roxana"}],"editor":[{"family":"Mâță","given":"Liliana"}],"accessed":{"date-parts":[["2022",4,29]]},"issued":{"date-parts":[["2022"]]}}}],"schema":"https://github.com/citation-style-language/schema/raw/master/csl-citation.json"} </w:instrText>
      </w:r>
      <w:r w:rsidR="003A0935">
        <w:fldChar w:fldCharType="separate"/>
      </w:r>
      <w:r w:rsidR="003A0935" w:rsidRPr="003A0935">
        <w:rPr>
          <w:rFonts w:cs="Times"/>
        </w:rPr>
        <w:t>(Boghian et al., 2022)</w:t>
      </w:r>
      <w:r w:rsidR="003A0935">
        <w:fldChar w:fldCharType="end"/>
      </w:r>
      <w:r w:rsidR="00F029DE">
        <w:t xml:space="preserve">. </w:t>
      </w:r>
    </w:p>
    <w:p w14:paraId="1B2300FC" w14:textId="6DFB1920" w:rsidR="00F029DE" w:rsidRDefault="00F029DE" w:rsidP="00F029DE">
      <w:r>
        <w:t xml:space="preserve">Cet atelier </w:t>
      </w:r>
      <w:r w:rsidR="00224707">
        <w:t xml:space="preserve">répond à ce besoin en </w:t>
      </w:r>
      <w:r w:rsidR="00C15561">
        <w:t>propos</w:t>
      </w:r>
      <w:r w:rsidR="00224707">
        <w:t>ant</w:t>
      </w:r>
      <w:r w:rsidR="00C15561">
        <w:t xml:space="preserve"> </w:t>
      </w:r>
      <w:r>
        <w:t xml:space="preserve">une approche pragmatique de la </w:t>
      </w:r>
      <w:r w:rsidR="00FC407E">
        <w:t>réflexion</w:t>
      </w:r>
      <w:r>
        <w:t xml:space="preserve"> éthique </w:t>
      </w:r>
      <w:r w:rsidR="00FC407E">
        <w:t>dans le contexte du</w:t>
      </w:r>
      <w:r>
        <w:t xml:space="preserve"> numérique sous la forme d'un </w:t>
      </w:r>
      <w:r w:rsidR="00856358">
        <w:t>« </w:t>
      </w:r>
      <w:r>
        <w:t>canevas</w:t>
      </w:r>
      <w:r w:rsidR="00856358">
        <w:t> »</w:t>
      </w:r>
      <w:r w:rsidR="00F65740">
        <w:t xml:space="preserve">, c’est-à-dire </w:t>
      </w:r>
      <w:r w:rsidR="00847941">
        <w:t xml:space="preserve">un outil </w:t>
      </w:r>
      <w:r w:rsidR="00AC3C61">
        <w:t>visuel</w:t>
      </w:r>
      <w:r>
        <w:t xml:space="preserve"> </w:t>
      </w:r>
      <w:r w:rsidR="00F65740">
        <w:lastRenderedPageBreak/>
        <w:t xml:space="preserve">destiné à </w:t>
      </w:r>
      <w:r>
        <w:t>guide</w:t>
      </w:r>
      <w:r w:rsidR="00F65740">
        <w:t xml:space="preserve">r </w:t>
      </w:r>
      <w:r w:rsidR="00D10A23">
        <w:t>cette</w:t>
      </w:r>
      <w:r w:rsidR="00D77027">
        <w:t xml:space="preserve"> réflexion</w:t>
      </w:r>
      <w:r>
        <w:t xml:space="preserve">. </w:t>
      </w:r>
      <w:r w:rsidR="008A331D">
        <w:t xml:space="preserve">Bien que très classique dans sa conception, ce canevas </w:t>
      </w:r>
      <w:r w:rsidR="00E40C70">
        <w:t xml:space="preserve">apporte deux contributions principales : d’une part un ensemble de </w:t>
      </w:r>
      <w:r w:rsidR="00027D16">
        <w:t>principes</w:t>
      </w:r>
      <w:r w:rsidR="00E40C70">
        <w:t xml:space="preserve"> éthiques </w:t>
      </w:r>
      <w:r w:rsidR="001C55CF">
        <w:t>adaptés</w:t>
      </w:r>
      <w:r w:rsidR="00E40C70">
        <w:t xml:space="preserve"> au contexte numérique et d’autre part </w:t>
      </w:r>
      <w:r w:rsidR="008A331D">
        <w:t xml:space="preserve">un cadre structuré </w:t>
      </w:r>
      <w:r w:rsidR="00E40C70">
        <w:t>permettant une démarche</w:t>
      </w:r>
      <w:r w:rsidR="00AE56F9">
        <w:t xml:space="preserve"> de réflexion</w:t>
      </w:r>
      <w:r w:rsidR="00E40C70">
        <w:t xml:space="preserve"> </w:t>
      </w:r>
      <w:r w:rsidR="007D0821">
        <w:t xml:space="preserve">éthique </w:t>
      </w:r>
      <w:r w:rsidR="00E40C70">
        <w:t>concrète et pratique</w:t>
      </w:r>
      <w:r w:rsidR="007D0821">
        <w:t xml:space="preserve">. </w:t>
      </w:r>
      <w:r w:rsidR="00B80A2D">
        <w:t>En s’appuyant sur cet outil, l’atelier vise à permettre aux</w:t>
      </w:r>
      <w:r w:rsidR="00E40C70">
        <w:t xml:space="preserve"> </w:t>
      </w:r>
      <w:proofErr w:type="spellStart"/>
      <w:r w:rsidR="002579B8">
        <w:t>participant</w:t>
      </w:r>
      <w:r w:rsidR="009F5F4F">
        <w:t>·es</w:t>
      </w:r>
      <w:proofErr w:type="spellEnd"/>
      <w:r w:rsidR="00B80A2D">
        <w:t xml:space="preserve"> de développer une approche éthique des outils numériques pour l’enseignement et l’apprentissage</w:t>
      </w:r>
      <w:r w:rsidR="00E40C70">
        <w:t>.</w:t>
      </w:r>
      <w:r w:rsidR="007C3FD5">
        <w:t xml:space="preserve"> </w:t>
      </w:r>
      <w:r>
        <w:t xml:space="preserve">Dans </w:t>
      </w:r>
      <w:r w:rsidR="00A862B3">
        <w:t>les sections suivantes</w:t>
      </w:r>
      <w:r>
        <w:t xml:space="preserve">, nous présentons d'abord </w:t>
      </w:r>
      <w:r w:rsidR="000770CB">
        <w:t xml:space="preserve">l’approche que nous proposons ainsi que </w:t>
      </w:r>
      <w:r>
        <w:t xml:space="preserve">notre </w:t>
      </w:r>
      <w:r w:rsidR="00E32E9B">
        <w:t>« </w:t>
      </w:r>
      <w:r>
        <w:t>canevas</w:t>
      </w:r>
      <w:r w:rsidR="00E32E9B">
        <w:t> »</w:t>
      </w:r>
      <w:r>
        <w:t xml:space="preserve">, avant d'introduire les </w:t>
      </w:r>
      <w:r w:rsidR="00304D82">
        <w:t xml:space="preserve">objectifs d'apprentissage et le format </w:t>
      </w:r>
      <w:r>
        <w:t xml:space="preserve">de l'atelier. </w:t>
      </w:r>
    </w:p>
    <w:p w14:paraId="37E07A34" w14:textId="650160C5" w:rsidR="008652ED" w:rsidRDefault="00F43E28" w:rsidP="008652ED">
      <w:pPr>
        <w:pStyle w:val="Heading1"/>
      </w:pPr>
      <w:r>
        <w:t>Approche proposée</w:t>
      </w:r>
      <w:r w:rsidR="005E6597">
        <w:t xml:space="preserve"> et description du « canevas »</w:t>
      </w:r>
    </w:p>
    <w:p w14:paraId="58B9E232" w14:textId="332A2C76" w:rsidR="00525CB0" w:rsidRDefault="00525CB0" w:rsidP="00525CB0">
      <w:r>
        <w:t xml:space="preserve">Fréquemment utilisé dans </w:t>
      </w:r>
      <w:r w:rsidR="00457C9A">
        <w:t>les domaines du management et du commerce</w:t>
      </w:r>
      <w:r>
        <w:t>, un canevas est un outil qui met en œuvre un cadre conceptuel de manière visuelle pour guider un processus de réflexion</w:t>
      </w:r>
      <w:r w:rsidR="00457C9A">
        <w:t xml:space="preserve"> </w:t>
      </w:r>
      <w:r w:rsidR="00457C9A">
        <w:fldChar w:fldCharType="begin"/>
      </w:r>
      <w:r w:rsidR="00614991">
        <w:instrText xml:space="preserve"> ADDIN ZOTERO_ITEM CSL_CITATION {"citationID":"t5p8eLuk","properties":{"formattedCitation":"(Tranquillo et al., 2016)","plainCitation":"(Tranquillo et al., 2016)","noteIndex":0},"citationItems":[{"id":1000,"uris":["http://zotero.org/users/2500092/items/KG583X3R"],"itemData":{"id":1000,"type":"article-journal","container-title":"Henry M. Rowan College of Engineering Faculty Scholarship","DOI":"10.18260/p.26211","title":"Making Sense of Canvas Tools: Analysis and Comparison of Popular Canvases","title-short":"Making Sense of Canvas Tools","URL":"https://rdw.rowan.edu/engineering_facpub/36","author":[{"family":"Tranquillo","given":"Joe"},{"family":"Kline","given":"William"},{"family":"Hixson","given":"Cory"}],"issued":{"date-parts":[["2016",6,26]]}}}],"schema":"https://github.com/citation-style-language/schema/raw/master/csl-citation.json"} </w:instrText>
      </w:r>
      <w:r w:rsidR="00457C9A">
        <w:fldChar w:fldCharType="separate"/>
      </w:r>
      <w:r w:rsidR="00457C9A" w:rsidRPr="00457C9A">
        <w:rPr>
          <w:rFonts w:cs="Times"/>
        </w:rPr>
        <w:t>(Tranquillo et al., 2016)</w:t>
      </w:r>
      <w:r w:rsidR="00457C9A">
        <w:fldChar w:fldCharType="end"/>
      </w:r>
      <w:r>
        <w:t>. Un canevas prend généralement la forme d'une grille ou d'un diagramme</w:t>
      </w:r>
      <w:r w:rsidR="00496EEF">
        <w:t>, présenté</w:t>
      </w:r>
      <w:r>
        <w:t xml:space="preserve"> sur une seule page, </w:t>
      </w:r>
      <w:r w:rsidR="00496EEF">
        <w:t>qui</w:t>
      </w:r>
      <w:r>
        <w:t xml:space="preserve"> sert de support à </w:t>
      </w:r>
      <w:r w:rsidR="00496EEF">
        <w:t>différentes</w:t>
      </w:r>
      <w:r>
        <w:t xml:space="preserve"> </w:t>
      </w:r>
      <w:r w:rsidR="00496EEF">
        <w:t>activités</w:t>
      </w:r>
      <w:r>
        <w:t xml:space="preserve"> individuelles ou collaboratives.</w:t>
      </w:r>
    </w:p>
    <w:p w14:paraId="3B0749F1" w14:textId="41A693D7" w:rsidR="00FA2B26" w:rsidRDefault="00525CB0" w:rsidP="00FA2B26">
      <w:r w:rsidRPr="00847941">
        <w:t>Développé à l'origine pour le contexte humanitaire</w:t>
      </w:r>
      <w:r w:rsidR="00B305B3" w:rsidRPr="00847941">
        <w:t xml:space="preserve"> </w:t>
      </w:r>
      <w:r w:rsidR="00B305B3" w:rsidRPr="00847941">
        <w:fldChar w:fldCharType="begin"/>
      </w:r>
      <w:r w:rsidR="00614991">
        <w:instrText xml:space="preserve"> ADDIN ZOTERO_ITEM CSL_CITATION {"citationID":"qbJFgJf6","properties":{"formattedCitation":"(Cardia et al., 2017)","plainCitation":"(Cardia et al., 2017)","noteIndex":0},"citationItems":[{"id":764,"uris":["http://zotero.org/users/2500092/items/ND2WBHWD"],"itemData":{"id":764,"type":"paper-conference","abstract":"The humanitarian sector is entering in the network age. The explosion in access to new information and communication technology (ICT) like mobile phones, the internet, and social media, is changing the way people communicate in emergency situations. However, the use of new ICT has not yet been adequately accompanied by an analysis of the challenges it represents for the application of the four humanitarian principles, namely humanity, neutrality, impartiality and independence. These principles provide the foundations for humanitarian action and are central to establishing and maintaining access to affected people. This article addresses that issue and provides a design framework to guide humanitarian agencies towards a principled approach to ICT.","collection-title":"ICTD '17","container-title":"Proceedings of the Ninth International Conference on Information and Communication Technologies and Development","DOI":"10.1145/3136560.3136588","event-place":"New York, NY, USA","ISBN":"978-1-4503-5277-2","page":"1–5","publisher":"Association for Computing Machinery","publisher-place":"New York, NY, USA","source":"ACM Digital Library","title":"Towards a Principled Approach to Humanitarian Information and Communication Technology","URL":"https://doi.org/10.1145/3136560.3136588","author":[{"family":"Cardia","given":"Isabelle Vonèche"},{"family":"Holzer","given":"Adrian"},{"family":"Xu","given":"Ying"},{"family":"Maitland","given":"Carleen"},{"family":"Gillet","given":"Denis"}],"accessed":{"date-parts":[["2021",11,15]]},"issued":{"date-parts":[["2017",11,16]]}}}],"schema":"https://github.com/citation-style-language/schema/raw/master/csl-citation.json"} </w:instrText>
      </w:r>
      <w:r w:rsidR="00B305B3" w:rsidRPr="00847941">
        <w:fldChar w:fldCharType="separate"/>
      </w:r>
      <w:r w:rsidR="00B305B3" w:rsidRPr="00847941">
        <w:rPr>
          <w:rFonts w:cs="Times"/>
        </w:rPr>
        <w:t>(Cardia et al., 2017)</w:t>
      </w:r>
      <w:r w:rsidR="00B305B3" w:rsidRPr="00847941">
        <w:fldChar w:fldCharType="end"/>
      </w:r>
      <w:r w:rsidRPr="00847941">
        <w:t xml:space="preserve">, le canevas que nous proposons met en œuvre une approche </w:t>
      </w:r>
      <w:r w:rsidR="00A81C83">
        <w:t>« </w:t>
      </w:r>
      <w:r w:rsidRPr="00847941">
        <w:t xml:space="preserve">fondée sur </w:t>
      </w:r>
      <w:r w:rsidR="007661E7">
        <w:t>l</w:t>
      </w:r>
      <w:r w:rsidRPr="00847941">
        <w:t>es principes</w:t>
      </w:r>
      <w:r w:rsidR="00A81C83">
        <w:t> » : les principes éthiques sont le point d’entrée de la réflexion et guident l’analyse et la conception</w:t>
      </w:r>
      <w:r w:rsidR="00F172B2">
        <w:t>.</w:t>
      </w:r>
      <w:r w:rsidRPr="00847941">
        <w:t xml:space="preserve"> </w:t>
      </w:r>
      <w:r w:rsidR="00B91DB6">
        <w:t>C</w:t>
      </w:r>
      <w:r w:rsidR="00B91DB6" w:rsidRPr="00847941">
        <w:t>omme illustré sur la Figure</w:t>
      </w:r>
      <w:r w:rsidR="00B91DB6">
        <w:t> 1, l</w:t>
      </w:r>
      <w:r w:rsidRPr="00847941">
        <w:t>'organisation visuelle du</w:t>
      </w:r>
      <w:r w:rsidR="00C35B58">
        <w:t xml:space="preserve"> canevas reflète cette approche</w:t>
      </w:r>
      <w:r w:rsidRPr="00847941">
        <w:t xml:space="preserve"> avec les principes </w:t>
      </w:r>
      <w:r w:rsidR="007D4D88">
        <w:t xml:space="preserve">éthiques </w:t>
      </w:r>
      <w:r w:rsidRPr="00847941">
        <w:t xml:space="preserve">au centre, </w:t>
      </w:r>
      <w:r w:rsidR="00B91DB6">
        <w:t xml:space="preserve">mettant en relation la technologie numérique et </w:t>
      </w:r>
      <w:r w:rsidR="00F9054E">
        <w:t>la situation d’</w:t>
      </w:r>
      <w:r w:rsidR="00A12CD1">
        <w:t>enseignement ou d’</w:t>
      </w:r>
      <w:r w:rsidR="0021210B">
        <w:t>apprentissage</w:t>
      </w:r>
      <w:r w:rsidRPr="00847941">
        <w:t>.</w:t>
      </w:r>
      <w:r w:rsidR="007661E7">
        <w:t xml:space="preserve"> </w:t>
      </w:r>
      <w:r w:rsidR="004320BE">
        <w:t>Construit à</w:t>
      </w:r>
      <w:r w:rsidR="00113364">
        <w:t xml:space="preserve"> partir</w:t>
      </w:r>
      <w:r w:rsidR="00FA2B26">
        <w:t xml:space="preserve"> </w:t>
      </w:r>
      <w:r w:rsidR="00164A5C">
        <w:t xml:space="preserve">de la littérature </w:t>
      </w:r>
      <w:r w:rsidR="00113364">
        <w:t>sur</w:t>
      </w:r>
      <w:r w:rsidR="00164A5C">
        <w:t xml:space="preserve"> les principes éthiques applicables au numérique</w:t>
      </w:r>
      <w:r w:rsidR="00113364">
        <w:t xml:space="preserve"> (voir par exemple </w:t>
      </w:r>
      <w:r w:rsidR="00113364">
        <w:fldChar w:fldCharType="begin"/>
      </w:r>
      <w:r w:rsidR="00614991">
        <w:instrText xml:space="preserve"> ADDIN ZOTERO_ITEM CSL_CITATION {"citationID":"q6QTlmSS","properties":{"formattedCitation":"(Pardo &amp; Siemens, 2014; Stoyanovich et al., 2016; Williamson &amp; Kizilcec, 2022)","plainCitation":"(Pardo &amp; Siemens, 2014; Stoyanovich et al., 2016; Williamson &amp; Kizilcec, 2022)","noteIndex":0},"citationItems":[{"id":759,"uris":["http://zotero.org/users/2500092/items/WBC4BQ64"],"itemData":{"id":759,"type":"article-journal","abstract":"The massive adoption of technology in learning processes comes with an equally large capacity to track learners. Learning analytics aims at using the collected information to understand and improve the quality of a learning experience. The privacy and ethical issues that emerge in this context are tightly interconnected with other aspects such as trust, accountability and transparency. In this paper, a set of principles is identified to narrow the scope of the discussion and point to pragmatic approaches to help design and research learning experiences where important ethical and privacy issues are considered.","container-title":"British Journal of Educational Technology","DOI":"10.1111/bjet.12152","ISSN":"1467-8535","issue":"3","language":"en","note":"_eprint: https://onlinelibrary.wiley.com/doi/pdf/10.1111/bjet.12152","page":"438-450","source":"Wiley Online Library","title":"Ethical and privacy principles for learning analytics","volume":"45","author":[{"family":"Pardo","given":"Abelardo"},{"family":"Siemens","given":"George"}],"issued":{"date-parts":[["2014"]]}}},{"id":740,"uris":["http://zotero.org/users/2500092/items/RFTAGJNN"],"itemData":{"id":740,"type":"paper-conference","abstract":"Big data technology holds incredible promise of improving people's lives, accelerating scientific discovery and innovation , and bringing about positive societal change. Yet, if not used responsibly, this technology can propel economic inequality , destabilize global markets and affirm systemic bias. While the potential benefits of big data are well-accepted, the importance of using these techniques in a fair and transparent manner is rarely considered. The primary goal of this tutorial is to draw the attention of the data management community to the important emerging subject of responsible data management and analysis. We will offer our perspective on the issue, will give an overview of existing technical work, primarily from the data mining and algorithms communities, and will motivate future research directions.","event-title":"International Conference on Extending Database Technology","language":"en","source":"hal.inria.fr","title":"Data, Responsibly: Fairness, Neutrality and Transparency in Data Analysis","title-short":"Data, Responsibly","URL":"https://hal.inria.fr/hal-01290695","author":[{"family":"Stoyanovich","given":"Julia"},{"family":"Abiteboul","given":"Serge"},{"family":"Miklau","given":"Gerome"}],"accessed":{"date-parts":[["2022",1,19]]},"issued":{"date-parts":[["2016",3,15]]}}},{"id":743,"uris":["http://zotero.org/users/2500092/items/LUX2CY7X"],"itemData":{"id":743,"type":"article-journal","abstract":"Learning analytics dashboards (LADs) are becoming more prevalent in higher education to help students, faculty, and staff make data-informed decisions. Despite extensive research on the design and implementation of LADs, few studies have investigated their relation to justice, equity, diversity, and inclusion (JEDI). Excluding these issues in LAD research limits the potential benefits of LADs generally and risks reinforcing long-standing inequities in education. We conducted a critical literature review, identifying 45 relevant papers to answer three research questions: how is LAD research improving JEDI, ii. how might it maintain or exacerbate inequitable outcomes, and iii. what opportunities exist in this space to improve JEDI in higher education. Using thematic analysis, we identified four common themes: (1) participant identities and researcher positionality, (2) surveillance concerns, (3) implicit pedagogies, and (4) software development resources. While we found very few studies directly addressing or mentioning JEDI concepts, we used these themes to explore ways researchers could consider JEDI in their studies. Our investigation highlights several opportunities to intentionally incorporate JEDI into LAD research by sharing software resources and conducting cross-border collaborations, better incorporating user needs, and centering considerations of justice in LAD efforts to improve historical inequities.","language":"en","page":"11","source":"Zotero","title":"A Review of Learning Analytics Dashboard Research in Higher Education: Implications for Justice, Equity, Diversity, and Inclusion","author":[{"family":"Williamson","given":"Kimberly"},{"family":"Kizilcec","given":"Rene F"}],"issued":{"date-parts":[["2022"]]}}}],"schema":"https://github.com/citation-style-language/schema/raw/master/csl-citation.json"} </w:instrText>
      </w:r>
      <w:r w:rsidR="00113364">
        <w:fldChar w:fldCharType="separate"/>
      </w:r>
      <w:r w:rsidR="007661E7" w:rsidRPr="007661E7">
        <w:rPr>
          <w:rFonts w:cs="Times"/>
        </w:rPr>
        <w:t>(Pardo &amp; Siemens, 2014; Stoyanovich et al., 2016; Williamson &amp; Kizilcec, 2022)</w:t>
      </w:r>
      <w:r w:rsidR="00113364">
        <w:fldChar w:fldCharType="end"/>
      </w:r>
      <w:r w:rsidR="00FA2B26">
        <w:t xml:space="preserve">, </w:t>
      </w:r>
      <w:r w:rsidR="004320BE">
        <w:t>notre canevas s’appuie</w:t>
      </w:r>
      <w:r w:rsidR="00D81911">
        <w:t xml:space="preserve"> sur</w:t>
      </w:r>
      <w:r w:rsidR="00FA2B26">
        <w:t xml:space="preserve"> </w:t>
      </w:r>
      <w:r w:rsidR="00115E25">
        <w:t>quatre</w:t>
      </w:r>
      <w:r w:rsidR="00FA2B26">
        <w:t xml:space="preserve"> principes éthiques fondamentaux</w:t>
      </w:r>
      <w:r w:rsidR="00A81C83">
        <w:t xml:space="preserve"> </w:t>
      </w:r>
      <w:r w:rsidR="00FA2B26">
        <w:t>:</w:t>
      </w:r>
    </w:p>
    <w:p w14:paraId="1B625272" w14:textId="67F40E8A" w:rsidR="00115E25" w:rsidRDefault="001F5BF9" w:rsidP="00FA2B26">
      <w:pPr>
        <w:pStyle w:val="Listepuce"/>
      </w:pPr>
      <w:r>
        <w:t>Bénéfice</w:t>
      </w:r>
      <w:r w:rsidR="00034B98">
        <w:t xml:space="preserve"> : qu’apporte </w:t>
      </w:r>
      <w:r w:rsidR="00E75AA1">
        <w:t>l’ou</w:t>
      </w:r>
      <w:r w:rsidR="009D6E63">
        <w:t>til dans le contexte considéré,</w:t>
      </w:r>
      <w:r w:rsidR="00E75AA1">
        <w:t xml:space="preserve"> </w:t>
      </w:r>
      <w:r w:rsidR="00034B98">
        <w:t xml:space="preserve">quelle est sa </w:t>
      </w:r>
      <w:r w:rsidR="00E75AA1">
        <w:t>v</w:t>
      </w:r>
      <w:r w:rsidR="00A24369">
        <w:t>aleur pédagogique</w:t>
      </w:r>
      <w:r w:rsidR="000D62C8">
        <w:t> ? I</w:t>
      </w:r>
      <w:r w:rsidR="00A24369">
        <w:t xml:space="preserve">nspiré du principe de bienfaisance </w:t>
      </w:r>
      <w:r w:rsidR="005A2985">
        <w:t>en</w:t>
      </w:r>
      <w:r w:rsidR="00E0792B">
        <w:t xml:space="preserve"> </w:t>
      </w:r>
      <w:r w:rsidR="00A24369">
        <w:t>éthique médicale</w:t>
      </w:r>
      <w:r w:rsidR="000D62C8">
        <w:t xml:space="preserve">, ce premier principe vise </w:t>
      </w:r>
      <w:r w:rsidR="005C0A0E">
        <w:t xml:space="preserve">à </w:t>
      </w:r>
      <w:r w:rsidR="00C0466D">
        <w:t>évaluer l</w:t>
      </w:r>
      <w:r w:rsidR="000D1A3F">
        <w:t>a</w:t>
      </w:r>
      <w:r w:rsidR="00C0466D">
        <w:t xml:space="preserve"> contribution positive de </w:t>
      </w:r>
      <w:r w:rsidR="000D62C8">
        <w:t>l’outil</w:t>
      </w:r>
      <w:r w:rsidR="00D11A30">
        <w:t xml:space="preserve"> numérique</w:t>
      </w:r>
      <w:r w:rsidR="000D62C8">
        <w:t xml:space="preserve"> </w:t>
      </w:r>
      <w:r w:rsidR="002144E9">
        <w:t>à l’expérience d’apprentissage</w:t>
      </w:r>
      <w:r w:rsidR="000D62C8">
        <w:t>.</w:t>
      </w:r>
      <w:r w:rsidR="009D6E63">
        <w:t xml:space="preserve"> </w:t>
      </w:r>
      <w:r w:rsidR="005C0A0E">
        <w:t>Ce principe</w:t>
      </w:r>
      <w:r w:rsidR="009D6E63">
        <w:t xml:space="preserve"> est traité différemment des </w:t>
      </w:r>
      <w:r w:rsidR="005C0A0E">
        <w:t>trois autres</w:t>
      </w:r>
      <w:r w:rsidR="009D6E63">
        <w:t xml:space="preserve"> puisqu</w:t>
      </w:r>
      <w:r w:rsidR="000E4319">
        <w:t>’il</w:t>
      </w:r>
      <w:r w:rsidR="001C2435">
        <w:t xml:space="preserve"> n’est pas situé du même côté de</w:t>
      </w:r>
      <w:r w:rsidR="000E4319">
        <w:t xml:space="preserve"> l’équation bénéfice-risque</w:t>
      </w:r>
      <w:r w:rsidR="005C0A0E">
        <w:t>.</w:t>
      </w:r>
    </w:p>
    <w:p w14:paraId="21AC71D4" w14:textId="00D8E1FD" w:rsidR="00FA2B26" w:rsidRDefault="00FA2B26" w:rsidP="00FA2B26">
      <w:pPr>
        <w:pStyle w:val="Listepuce"/>
      </w:pPr>
      <w:r>
        <w:t>Autonomie : quel est le niveau d'information et de contrôle des utilisateurs sur l'outil (par exemple</w:t>
      </w:r>
      <w:r w:rsidR="008739D2">
        <w:t> :</w:t>
      </w:r>
      <w:r>
        <w:t xml:space="preserve"> consentement </w:t>
      </w:r>
      <w:r w:rsidR="008739D2">
        <w:t>explicite</w:t>
      </w:r>
      <w:r>
        <w:t>, liberté de choix, transparence algorithmique) ?</w:t>
      </w:r>
    </w:p>
    <w:p w14:paraId="6F978C3B" w14:textId="5B1E027B" w:rsidR="00FA2B26" w:rsidRDefault="00FA2B26" w:rsidP="00FA2B26">
      <w:pPr>
        <w:pStyle w:val="Listepuce"/>
      </w:pPr>
      <w:r>
        <w:t>Equité : dans quelle mesure l'outil met-il en œuvre ou soutient-il l'inclusion, l'équité et la non-discrimination</w:t>
      </w:r>
      <w:r w:rsidR="00680A6F">
        <w:t xml:space="preserve"> (pa</w:t>
      </w:r>
      <w:r w:rsidR="00EE3AEC">
        <w:t>r exemple : acce</w:t>
      </w:r>
      <w:r w:rsidR="00A156FF">
        <w:t>ssibilité, équité de traitement</w:t>
      </w:r>
      <w:r w:rsidR="00677AEB">
        <w:t xml:space="preserve">, mécanismes de </w:t>
      </w:r>
      <w:r w:rsidR="003F3B7C">
        <w:t>modération</w:t>
      </w:r>
      <w:r w:rsidR="00680A6F">
        <w:t>)</w:t>
      </w:r>
      <w:r>
        <w:t xml:space="preserve"> ?</w:t>
      </w:r>
    </w:p>
    <w:p w14:paraId="23EBB8CF" w14:textId="5DDCB65A" w:rsidR="00FA2B26" w:rsidRDefault="00FA2B26" w:rsidP="00FA2B26">
      <w:pPr>
        <w:pStyle w:val="Listepuce"/>
      </w:pPr>
      <w:r>
        <w:lastRenderedPageBreak/>
        <w:t xml:space="preserve">Vie privée : comment l'outil protège-t-il </w:t>
      </w:r>
      <w:r w:rsidR="00D77A69">
        <w:t>les données</w:t>
      </w:r>
      <w:r>
        <w:t xml:space="preserve"> des utilisateurs (par exemple</w:t>
      </w:r>
      <w:r w:rsidR="008739D2">
        <w:t xml:space="preserve"> : </w:t>
      </w:r>
      <w:r>
        <w:t>quantité de données collectées, type de données perso</w:t>
      </w:r>
      <w:r w:rsidR="00C5352E">
        <w:t xml:space="preserve">nnelles ou sensibles collectées, partage ou vente </w:t>
      </w:r>
      <w:r>
        <w:t>des données) ?</w:t>
      </w:r>
    </w:p>
    <w:p w14:paraId="251D9CF7" w14:textId="20C05890" w:rsidR="00FA2B26" w:rsidRDefault="00FA2B26" w:rsidP="00FA2B26">
      <w:r>
        <w:t>Pour chaque principe</w:t>
      </w:r>
      <w:r w:rsidR="00763394">
        <w:t xml:space="preserve"> excepté celui de bénéfice</w:t>
      </w:r>
      <w:r>
        <w:t xml:space="preserve">, le canevas </w:t>
      </w:r>
      <w:r w:rsidR="002021F7">
        <w:t>invite</w:t>
      </w:r>
      <w:r>
        <w:t xml:space="preserve"> les </w:t>
      </w:r>
      <w:proofErr w:type="spellStart"/>
      <w:r>
        <w:t>participant</w:t>
      </w:r>
      <w:r w:rsidR="004F13E3">
        <w:t>·e</w:t>
      </w:r>
      <w:r>
        <w:t>s</w:t>
      </w:r>
      <w:proofErr w:type="spellEnd"/>
      <w:r>
        <w:t xml:space="preserve"> à </w:t>
      </w:r>
      <w:r w:rsidR="005836D6">
        <w:t>identifier les</w:t>
      </w:r>
      <w:r>
        <w:t xml:space="preserve"> risques associés à l'outil dans </w:t>
      </w:r>
      <w:r w:rsidR="00E92448">
        <w:t>l’activité pédagogique</w:t>
      </w:r>
      <w:r w:rsidR="00FF603D">
        <w:t xml:space="preserve"> considérée</w:t>
      </w:r>
      <w:r>
        <w:t xml:space="preserve">, mais aussi à envisager </w:t>
      </w:r>
      <w:r w:rsidR="00E86729">
        <w:t xml:space="preserve">comment </w:t>
      </w:r>
      <w:r w:rsidR="002021F7">
        <w:t>limiter</w:t>
      </w:r>
      <w:r w:rsidR="00E86729">
        <w:t xml:space="preserve"> ces risques</w:t>
      </w:r>
      <w:r>
        <w:t xml:space="preserve">. L'utilisation du canevas devrait aider les </w:t>
      </w:r>
      <w:proofErr w:type="spellStart"/>
      <w:r>
        <w:t>participant</w:t>
      </w:r>
      <w:r w:rsidR="006340B3">
        <w:t>·e</w:t>
      </w:r>
      <w:r>
        <w:t>s</w:t>
      </w:r>
      <w:proofErr w:type="spellEnd"/>
      <w:r>
        <w:t xml:space="preserve"> non seulement à développer une compréhension </w:t>
      </w:r>
      <w:r w:rsidR="001C481F">
        <w:t>concrète</w:t>
      </w:r>
      <w:r>
        <w:t xml:space="preserve"> de ces principes éthiques, mais aussi à acquérir une méthodologie générale pour intégrer la réflexion éthique dans les processus d'analyse et de conception.</w:t>
      </w:r>
    </w:p>
    <w:p w14:paraId="0DA886D9" w14:textId="390C57B9" w:rsidR="007E5933" w:rsidRDefault="007618EA" w:rsidP="007E5933">
      <w:pPr>
        <w:jc w:val="center"/>
      </w:pPr>
      <w:r>
        <w:rPr>
          <w:noProof/>
          <w:lang w:val="en-GB" w:eastAsia="en-GB"/>
        </w:rPr>
        <w:drawing>
          <wp:inline distT="0" distB="0" distL="0" distR="0" wp14:anchorId="3558440E" wp14:editId="56DCC7BE">
            <wp:extent cx="5559840" cy="3960000"/>
            <wp:effectExtent l="0" t="0" r="3175"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9840" cy="3960000"/>
                    </a:xfrm>
                    <a:prstGeom prst="rect">
                      <a:avLst/>
                    </a:prstGeom>
                    <a:noFill/>
                  </pic:spPr>
                </pic:pic>
              </a:graphicData>
            </a:graphic>
          </wp:inline>
        </w:drawing>
      </w:r>
    </w:p>
    <w:p w14:paraId="3BC1CBAA" w14:textId="1542BD88" w:rsidR="007E5933" w:rsidRDefault="007E5933" w:rsidP="007E5933">
      <w:pPr>
        <w:pStyle w:val="Figure"/>
      </w:pPr>
      <w:r>
        <w:t xml:space="preserve">Figure </w:t>
      </w:r>
      <w:r>
        <w:fldChar w:fldCharType="begin"/>
      </w:r>
      <w:r>
        <w:instrText xml:space="preserve"> SEQ Figure \* ARABIC </w:instrText>
      </w:r>
      <w:r>
        <w:fldChar w:fldCharType="separate"/>
      </w:r>
      <w:r>
        <w:rPr>
          <w:noProof/>
        </w:rPr>
        <w:t>1</w:t>
      </w:r>
      <w:r>
        <w:fldChar w:fldCharType="end"/>
      </w:r>
      <w:r>
        <w:t> :</w:t>
      </w:r>
      <w:r w:rsidR="00E45C7C">
        <w:t xml:space="preserve"> </w:t>
      </w:r>
      <w:r w:rsidR="002B5082">
        <w:t>C</w:t>
      </w:r>
      <w:r>
        <w:t>anevas</w:t>
      </w:r>
      <w:r w:rsidR="0012520B">
        <w:t xml:space="preserve"> utilisé dans l’atelier. Les </w:t>
      </w:r>
      <w:r>
        <w:t>principes éthiques au centre</w:t>
      </w:r>
      <w:r w:rsidR="0012520B">
        <w:t xml:space="preserve"> sont le point d’entrée de la réflexion et guident l’analyse et la conception</w:t>
      </w:r>
      <w:r w:rsidR="00582A29">
        <w:t xml:space="preserve"> en mettant en relation technologie et contexte d’utilisation.</w:t>
      </w:r>
    </w:p>
    <w:p w14:paraId="572B3E4B" w14:textId="08616854" w:rsidR="00E72F45" w:rsidRDefault="00E72F45" w:rsidP="00FA2B26">
      <w:r w:rsidRPr="00E72F45">
        <w:t xml:space="preserve">Après une introduction </w:t>
      </w:r>
      <w:r w:rsidR="00CE545E">
        <w:t>aux</w:t>
      </w:r>
      <w:r w:rsidRPr="00E72F45">
        <w:t xml:space="preserve"> questions éthiques liées </w:t>
      </w:r>
      <w:r w:rsidR="00923BED">
        <w:t>aux</w:t>
      </w:r>
      <w:r w:rsidRPr="00E72F45">
        <w:t xml:space="preserve"> outils numériques</w:t>
      </w:r>
      <w:r w:rsidR="00923BED">
        <w:t xml:space="preserve"> illustrées par des exemples</w:t>
      </w:r>
      <w:r w:rsidR="004774DC">
        <w:t xml:space="preserve"> issus de</w:t>
      </w:r>
      <w:r w:rsidRPr="00E72F45">
        <w:t xml:space="preserve"> l'éducation et une présentation des principes éthiques mis en œuvre dans le canevas, les </w:t>
      </w:r>
      <w:proofErr w:type="spellStart"/>
      <w:r w:rsidRPr="00E72F45">
        <w:t>participant</w:t>
      </w:r>
      <w:r w:rsidR="006340B3">
        <w:t>·e</w:t>
      </w:r>
      <w:r w:rsidRPr="00E72F45">
        <w:t>s</w:t>
      </w:r>
      <w:proofErr w:type="spellEnd"/>
      <w:r w:rsidRPr="00E72F45">
        <w:t xml:space="preserve"> auront l'occasion de </w:t>
      </w:r>
      <w:r w:rsidR="00745287">
        <w:t>mettre en pratique le</w:t>
      </w:r>
      <w:r w:rsidRPr="00E72F45">
        <w:t xml:space="preserve"> canevas en analysant de manière collaborative un scénario </w:t>
      </w:r>
      <w:r w:rsidR="00EC56D2">
        <w:t xml:space="preserve">composé </w:t>
      </w:r>
      <w:r w:rsidR="004A66B2">
        <w:t>d’</w:t>
      </w:r>
      <w:r w:rsidR="00121DC9">
        <w:t>un</w:t>
      </w:r>
      <w:r w:rsidR="008A14B9">
        <w:t xml:space="preserve">e </w:t>
      </w:r>
      <w:r w:rsidR="00B1540A">
        <w:t xml:space="preserve">activité pédagogique </w:t>
      </w:r>
      <w:r w:rsidR="004A66B2">
        <w:t>(par exemple</w:t>
      </w:r>
      <w:r w:rsidR="000C2EFA">
        <w:t xml:space="preserve"> un</w:t>
      </w:r>
      <w:r w:rsidR="004A66B2">
        <w:t xml:space="preserve"> cours magistral </w:t>
      </w:r>
      <w:r w:rsidR="008414E2">
        <w:t>interactif</w:t>
      </w:r>
      <w:r w:rsidR="004A66B2">
        <w:t xml:space="preserve">) </w:t>
      </w:r>
      <w:r w:rsidR="00EC56D2">
        <w:t>et d’un outil numérique</w:t>
      </w:r>
      <w:r w:rsidRPr="00E72F45">
        <w:t xml:space="preserve"> </w:t>
      </w:r>
      <w:r w:rsidR="00EC56D2">
        <w:t>connu</w:t>
      </w:r>
      <w:r w:rsidRPr="00E72F45">
        <w:t xml:space="preserve"> (par exemple </w:t>
      </w:r>
      <w:proofErr w:type="spellStart"/>
      <w:r>
        <w:t>Mentimeter</w:t>
      </w:r>
      <w:proofErr w:type="spellEnd"/>
      <w:r w:rsidR="0015715D">
        <w:t xml:space="preserve"> ou </w:t>
      </w:r>
      <w:proofErr w:type="spellStart"/>
      <w:r w:rsidR="0015715D">
        <w:t>Kahoot</w:t>
      </w:r>
      <w:proofErr w:type="spellEnd"/>
      <w:r w:rsidRPr="00E72F45">
        <w:t xml:space="preserve">). </w:t>
      </w:r>
      <w:r w:rsidR="00785D11">
        <w:t xml:space="preserve">Les </w:t>
      </w:r>
      <w:proofErr w:type="spellStart"/>
      <w:r w:rsidR="00785D11">
        <w:t>participant</w:t>
      </w:r>
      <w:r w:rsidR="006340B3">
        <w:t>·e</w:t>
      </w:r>
      <w:r w:rsidR="00785D11">
        <w:t>s</w:t>
      </w:r>
      <w:proofErr w:type="spellEnd"/>
      <w:r w:rsidR="00785D11">
        <w:t xml:space="preserve"> seront ensuite </w:t>
      </w:r>
      <w:r w:rsidR="00FF1589">
        <w:t>invités</w:t>
      </w:r>
      <w:r w:rsidR="00785D11">
        <w:t xml:space="preserve"> à prendre du recul sur leur expérience avec le canevas et </w:t>
      </w:r>
      <w:r w:rsidR="00785D11">
        <w:lastRenderedPageBreak/>
        <w:t xml:space="preserve">évaluer si et comment le canevas pourrait être utilisé comme outils d’enseignement </w:t>
      </w:r>
      <w:r w:rsidR="00524CFA">
        <w:t>et intégré à leur propre pratique.</w:t>
      </w:r>
    </w:p>
    <w:p w14:paraId="2D55374E" w14:textId="4BB1E2FA" w:rsidR="002D5D20" w:rsidRDefault="002D5D20" w:rsidP="002D5D20">
      <w:pPr>
        <w:pStyle w:val="Heading1"/>
      </w:pPr>
      <w:r>
        <w:t>Objectifs d’apprentissage</w:t>
      </w:r>
    </w:p>
    <w:p w14:paraId="697E4CCD" w14:textId="08CF3B6E" w:rsidR="002D5D20" w:rsidRDefault="00F16A67" w:rsidP="002D5D20">
      <w:r>
        <w:t xml:space="preserve">A la fin de cet atelier, les </w:t>
      </w:r>
      <w:proofErr w:type="spellStart"/>
      <w:r>
        <w:t>participant</w:t>
      </w:r>
      <w:r w:rsidR="006340B3">
        <w:t>·e</w:t>
      </w:r>
      <w:r>
        <w:t>s</w:t>
      </w:r>
      <w:proofErr w:type="spellEnd"/>
      <w:r>
        <w:t xml:space="preserve"> seront capables de :</w:t>
      </w:r>
    </w:p>
    <w:p w14:paraId="465AEA81" w14:textId="30F4CED5" w:rsidR="00F16A67" w:rsidRDefault="00F16A67" w:rsidP="00F16A67">
      <w:pPr>
        <w:pStyle w:val="Listepuce"/>
      </w:pPr>
      <w:r>
        <w:t xml:space="preserve">Décrire </w:t>
      </w:r>
      <w:r w:rsidR="00F91391">
        <w:t>les</w:t>
      </w:r>
      <w:r>
        <w:t xml:space="preserve"> problématiques éthiques liées à l’utilisation d’outils numériques </w:t>
      </w:r>
      <w:r w:rsidR="00810AE8">
        <w:t>dans</w:t>
      </w:r>
      <w:r>
        <w:t xml:space="preserve"> l’éducation</w:t>
      </w:r>
      <w:r w:rsidR="00F91391">
        <w:t xml:space="preserve"> et illustrer avec des exemples</w:t>
      </w:r>
      <w:r>
        <w:t> ;</w:t>
      </w:r>
    </w:p>
    <w:p w14:paraId="06E5E1C4" w14:textId="0F424A0B" w:rsidR="00F16A67" w:rsidRDefault="00F16A67" w:rsidP="00F16A67">
      <w:pPr>
        <w:pStyle w:val="Listepuce"/>
      </w:pPr>
      <w:r>
        <w:t>Lister et définir des principes de conception éthique à appliquer à la conception et à l’utilisation d’outils numériques ;</w:t>
      </w:r>
    </w:p>
    <w:p w14:paraId="7D1F48F5" w14:textId="4D574E9D" w:rsidR="00F16A67" w:rsidRDefault="00F16A67" w:rsidP="00F16A67">
      <w:pPr>
        <w:pStyle w:val="Listepuce"/>
      </w:pPr>
      <w:r>
        <w:t>Utiliser le canevas pour concevoir et analyser des activités pédagogiques qui impliquent des outils numériques ;</w:t>
      </w:r>
    </w:p>
    <w:p w14:paraId="296FB6E0" w14:textId="5762D8D0" w:rsidR="00F16A67" w:rsidRDefault="00F16A67" w:rsidP="00F16A67">
      <w:pPr>
        <w:pStyle w:val="Listepuce"/>
      </w:pPr>
      <w:r>
        <w:t>Evaluer comment le canevas peut être utilisé</w:t>
      </w:r>
      <w:r w:rsidR="003B184E">
        <w:t xml:space="preserve"> comme un outil d’enseignement et intégré dans leur propre pratique</w:t>
      </w:r>
      <w:r w:rsidR="009D381E">
        <w:t>.</w:t>
      </w:r>
    </w:p>
    <w:p w14:paraId="3F86E2FD" w14:textId="26D489C5" w:rsidR="002D5D20" w:rsidRDefault="002D5D20" w:rsidP="002D5D20">
      <w:pPr>
        <w:pStyle w:val="Heading1"/>
      </w:pPr>
      <w:r>
        <w:t>Format et déroulement</w:t>
      </w:r>
    </w:p>
    <w:p w14:paraId="42B61DBA" w14:textId="2CED4A8B" w:rsidR="00AB0724" w:rsidRDefault="00AB0724" w:rsidP="00AB0724">
      <w:r>
        <w:t>Nous utiliserons un format interactif</w:t>
      </w:r>
      <w:r w:rsidR="00AC284A">
        <w:t xml:space="preserve"> laissant une large place aux activités</w:t>
      </w:r>
      <w:r w:rsidR="002D25DC">
        <w:t xml:space="preserve"> pratiques</w:t>
      </w:r>
      <w:r w:rsidR="00AC284A">
        <w:t xml:space="preserve"> en groupe</w:t>
      </w:r>
      <w:r w:rsidR="00973D89">
        <w:t>s</w:t>
      </w:r>
      <w:r w:rsidR="00006253">
        <w:t>. L’atelier sera</w:t>
      </w:r>
      <w:r w:rsidR="00F55F3F">
        <w:t xml:space="preserve"> organisé en </w:t>
      </w:r>
      <w:r w:rsidR="00006253">
        <w:t>quatre</w:t>
      </w:r>
      <w:r w:rsidR="00F55F3F">
        <w:t xml:space="preserve"> parties</w:t>
      </w:r>
      <w:r w:rsidR="00AC284A">
        <w:t> :</w:t>
      </w:r>
    </w:p>
    <w:tbl>
      <w:tblPr>
        <w:tblStyle w:val="GridTable1Light"/>
        <w:tblW w:w="0" w:type="auto"/>
        <w:tblCellMar>
          <w:bottom w:w="85" w:type="dxa"/>
        </w:tblCellMar>
        <w:tblLook w:val="04A0" w:firstRow="1" w:lastRow="0" w:firstColumn="1" w:lastColumn="0" w:noHBand="0" w:noVBand="1"/>
      </w:tblPr>
      <w:tblGrid>
        <w:gridCol w:w="3020"/>
        <w:gridCol w:w="3020"/>
        <w:gridCol w:w="3020"/>
      </w:tblGrid>
      <w:tr w:rsidR="009329D3" w14:paraId="72BDDEED" w14:textId="77777777" w:rsidTr="00F77BF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20" w:type="dxa"/>
          </w:tcPr>
          <w:p w14:paraId="4EE46381" w14:textId="2E7E4E03" w:rsidR="009329D3" w:rsidRPr="00C758C7" w:rsidRDefault="009329D3" w:rsidP="006C4269">
            <w:pPr>
              <w:pStyle w:val="Tableau"/>
              <w:spacing w:before="0" w:after="0"/>
              <w:rPr>
                <w:sz w:val="24"/>
                <w:szCs w:val="24"/>
              </w:rPr>
            </w:pPr>
            <w:r>
              <w:rPr>
                <w:sz w:val="24"/>
                <w:szCs w:val="24"/>
              </w:rPr>
              <w:t>Partie</w:t>
            </w:r>
          </w:p>
        </w:tc>
        <w:tc>
          <w:tcPr>
            <w:tcW w:w="3020" w:type="dxa"/>
          </w:tcPr>
          <w:p w14:paraId="2ACA3657" w14:textId="47E6F35E" w:rsidR="009329D3" w:rsidRPr="00C758C7" w:rsidRDefault="009329D3" w:rsidP="006C4269">
            <w:pPr>
              <w:pStyle w:val="Tableau"/>
              <w:spacing w:before="0" w:after="0"/>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Détails</w:t>
            </w:r>
          </w:p>
        </w:tc>
        <w:tc>
          <w:tcPr>
            <w:tcW w:w="3020" w:type="dxa"/>
          </w:tcPr>
          <w:p w14:paraId="2A935F5B" w14:textId="3F25FB4B" w:rsidR="009329D3" w:rsidRPr="00C758C7" w:rsidRDefault="009329D3" w:rsidP="006C4269">
            <w:pPr>
              <w:pStyle w:val="Tableau"/>
              <w:spacing w:before="0" w:after="0"/>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Format et temps total</w:t>
            </w:r>
          </w:p>
        </w:tc>
      </w:tr>
      <w:tr w:rsidR="009329D3" w14:paraId="37454CC4" w14:textId="77777777" w:rsidTr="00F77BFE">
        <w:trPr>
          <w:trHeight w:val="227"/>
        </w:trPr>
        <w:tc>
          <w:tcPr>
            <w:cnfStyle w:val="001000000000" w:firstRow="0" w:lastRow="0" w:firstColumn="1" w:lastColumn="0" w:oddVBand="0" w:evenVBand="0" w:oddHBand="0" w:evenHBand="0" w:firstRowFirstColumn="0" w:firstRowLastColumn="0" w:lastRowFirstColumn="0" w:lastRowLastColumn="0"/>
            <w:tcW w:w="3020" w:type="dxa"/>
          </w:tcPr>
          <w:p w14:paraId="791E2520" w14:textId="0A299DE5" w:rsidR="009329D3" w:rsidRPr="009329D3" w:rsidRDefault="009329D3" w:rsidP="006C4269">
            <w:pPr>
              <w:pStyle w:val="Tableau"/>
              <w:spacing w:before="0" w:after="0"/>
              <w:rPr>
                <w:sz w:val="24"/>
                <w:szCs w:val="24"/>
                <w:lang w:val="fr-FR"/>
              </w:rPr>
            </w:pPr>
            <w:r w:rsidRPr="009329D3">
              <w:rPr>
                <w:sz w:val="24"/>
                <w:szCs w:val="24"/>
                <w:lang w:val="fr-FR"/>
              </w:rPr>
              <w:t>Partie 1 : problématiques éthiques liées aux outils numériques dans les activités d’enseignement et d’apprentissage et principes éthiques spécifiques au numérique</w:t>
            </w:r>
          </w:p>
        </w:tc>
        <w:tc>
          <w:tcPr>
            <w:tcW w:w="3020" w:type="dxa"/>
          </w:tcPr>
          <w:p w14:paraId="175C6D36" w14:textId="77777777" w:rsidR="0065155E" w:rsidRPr="0065155E" w:rsidRDefault="0065155E" w:rsidP="0065155E">
            <w:pPr>
              <w:pStyle w:val="Tableau"/>
              <w:spacing w:before="0"/>
              <w:cnfStyle w:val="000000000000" w:firstRow="0" w:lastRow="0" w:firstColumn="0" w:lastColumn="0" w:oddVBand="0" w:evenVBand="0" w:oddHBand="0" w:evenHBand="0" w:firstRowFirstColumn="0" w:firstRowLastColumn="0" w:lastRowFirstColumn="0" w:lastRowLastColumn="0"/>
              <w:rPr>
                <w:b w:val="0"/>
                <w:sz w:val="24"/>
                <w:szCs w:val="24"/>
              </w:rPr>
            </w:pPr>
            <w:r w:rsidRPr="0065155E">
              <w:rPr>
                <w:b w:val="0"/>
                <w:sz w:val="24"/>
                <w:szCs w:val="24"/>
              </w:rPr>
              <w:t>Introduction de la réflexion éthique dans le processus de conception et activité de contextualisation (5 minutes)</w:t>
            </w:r>
          </w:p>
          <w:p w14:paraId="4FD6601F" w14:textId="77777777" w:rsidR="0065155E" w:rsidRPr="0065155E" w:rsidRDefault="0065155E" w:rsidP="0065155E">
            <w:pPr>
              <w:pStyle w:val="Tableau"/>
              <w:spacing w:before="0"/>
              <w:cnfStyle w:val="000000000000" w:firstRow="0" w:lastRow="0" w:firstColumn="0" w:lastColumn="0" w:oddVBand="0" w:evenVBand="0" w:oddHBand="0" w:evenHBand="0" w:firstRowFirstColumn="0" w:firstRowLastColumn="0" w:lastRowFirstColumn="0" w:lastRowLastColumn="0"/>
              <w:rPr>
                <w:b w:val="0"/>
                <w:sz w:val="24"/>
                <w:szCs w:val="24"/>
              </w:rPr>
            </w:pPr>
            <w:r w:rsidRPr="0065155E">
              <w:rPr>
                <w:b w:val="0"/>
                <w:sz w:val="24"/>
                <w:szCs w:val="24"/>
              </w:rPr>
              <w:t>Traces numériques et protection de la vie privée, activité d’analyse d’une notice de politique de confidentialité (10 minutes)</w:t>
            </w:r>
          </w:p>
          <w:p w14:paraId="6E32653E" w14:textId="39D1BB78" w:rsidR="0065155E" w:rsidRPr="0065155E" w:rsidRDefault="0065155E" w:rsidP="0065155E">
            <w:pPr>
              <w:pStyle w:val="Tableau"/>
              <w:spacing w:before="0"/>
              <w:cnfStyle w:val="000000000000" w:firstRow="0" w:lastRow="0" w:firstColumn="0" w:lastColumn="0" w:oddVBand="0" w:evenVBand="0" w:oddHBand="0" w:evenHBand="0" w:firstRowFirstColumn="0" w:firstRowLastColumn="0" w:lastRowFirstColumn="0" w:lastRowLastColumn="0"/>
              <w:rPr>
                <w:b w:val="0"/>
                <w:sz w:val="24"/>
                <w:szCs w:val="24"/>
              </w:rPr>
            </w:pPr>
            <w:r w:rsidRPr="0065155E">
              <w:rPr>
                <w:b w:val="0"/>
                <w:sz w:val="24"/>
                <w:szCs w:val="24"/>
              </w:rPr>
              <w:t>Problématique des biais et leurs conséquences, activité d’élaboration d’une action de mitigation (10 minutes)</w:t>
            </w:r>
          </w:p>
          <w:p w14:paraId="148346B9" w14:textId="1E62EF84" w:rsidR="009329D3" w:rsidRPr="00C758C7" w:rsidRDefault="0065155E" w:rsidP="0065155E">
            <w:pPr>
              <w:pStyle w:val="Tableau"/>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65155E">
              <w:rPr>
                <w:b w:val="0"/>
                <w:sz w:val="24"/>
                <w:szCs w:val="24"/>
              </w:rPr>
              <w:t>Profils implicites, consentement et information des utilisateurs (5 minutes)</w:t>
            </w:r>
          </w:p>
        </w:tc>
        <w:tc>
          <w:tcPr>
            <w:tcW w:w="3020" w:type="dxa"/>
          </w:tcPr>
          <w:p w14:paraId="0B3CD1B2" w14:textId="64304EBD" w:rsidR="009329D3" w:rsidRPr="00F5339B" w:rsidRDefault="00F5339B" w:rsidP="006C4269">
            <w:pPr>
              <w:pStyle w:val="Tableau"/>
              <w:spacing w:before="0" w:after="0"/>
              <w:cnfStyle w:val="000000000000" w:firstRow="0" w:lastRow="0" w:firstColumn="0" w:lastColumn="0" w:oddVBand="0" w:evenVBand="0" w:oddHBand="0" w:evenHBand="0" w:firstRowFirstColumn="0" w:firstRowLastColumn="0" w:lastRowFirstColumn="0" w:lastRowLastColumn="0"/>
              <w:rPr>
                <w:b w:val="0"/>
                <w:sz w:val="24"/>
                <w:szCs w:val="24"/>
              </w:rPr>
            </w:pPr>
            <w:r w:rsidRPr="00F5339B">
              <w:rPr>
                <w:b w:val="0"/>
                <w:sz w:val="24"/>
                <w:szCs w:val="24"/>
                <w:lang w:val="fr-FR"/>
              </w:rPr>
              <w:t>Présentation interactive et mini-activités en groupes servant d’étayage pour l’utilisation du canevas :</w:t>
            </w:r>
            <w:r>
              <w:rPr>
                <w:b w:val="0"/>
                <w:sz w:val="24"/>
                <w:szCs w:val="24"/>
                <w:lang w:val="fr-FR"/>
              </w:rPr>
              <w:br/>
            </w:r>
            <w:r w:rsidRPr="00F5339B">
              <w:rPr>
                <w:b w:val="0"/>
                <w:sz w:val="24"/>
                <w:szCs w:val="24"/>
                <w:lang w:val="fr-FR"/>
              </w:rPr>
              <w:t>40 minutes</w:t>
            </w:r>
          </w:p>
        </w:tc>
      </w:tr>
      <w:tr w:rsidR="009329D3" w14:paraId="174D9052" w14:textId="77777777" w:rsidTr="00F77BFE">
        <w:trPr>
          <w:trHeight w:val="227"/>
        </w:trPr>
        <w:tc>
          <w:tcPr>
            <w:cnfStyle w:val="001000000000" w:firstRow="0" w:lastRow="0" w:firstColumn="1" w:lastColumn="0" w:oddVBand="0" w:evenVBand="0" w:oddHBand="0" w:evenHBand="0" w:firstRowFirstColumn="0" w:firstRowLastColumn="0" w:lastRowFirstColumn="0" w:lastRowLastColumn="0"/>
            <w:tcW w:w="3020" w:type="dxa"/>
          </w:tcPr>
          <w:p w14:paraId="789ED065" w14:textId="1BFD50A7" w:rsidR="009329D3" w:rsidRPr="00C758C7" w:rsidRDefault="00957F59" w:rsidP="006C4269">
            <w:pPr>
              <w:pStyle w:val="Tableau"/>
              <w:spacing w:before="0" w:after="0"/>
              <w:rPr>
                <w:sz w:val="24"/>
                <w:szCs w:val="24"/>
              </w:rPr>
            </w:pPr>
            <w:r w:rsidRPr="00957F59">
              <w:rPr>
                <w:sz w:val="24"/>
                <w:szCs w:val="24"/>
              </w:rPr>
              <w:t xml:space="preserve">Partie 2 : conception d’expériences </w:t>
            </w:r>
            <w:r w:rsidR="00C23F0C" w:rsidRPr="00957F59">
              <w:rPr>
                <w:sz w:val="24"/>
                <w:szCs w:val="24"/>
              </w:rPr>
              <w:t xml:space="preserve">numériques </w:t>
            </w:r>
            <w:r w:rsidRPr="00957F59">
              <w:rPr>
                <w:sz w:val="24"/>
                <w:szCs w:val="24"/>
              </w:rPr>
              <w:lastRenderedPageBreak/>
              <w:t>d’apprentissage en utilisant le canevas</w:t>
            </w:r>
          </w:p>
        </w:tc>
        <w:tc>
          <w:tcPr>
            <w:tcW w:w="3020" w:type="dxa"/>
          </w:tcPr>
          <w:p w14:paraId="010E76EB" w14:textId="77777777" w:rsidR="004E1EDC" w:rsidRPr="004E1EDC" w:rsidRDefault="004E1EDC" w:rsidP="004E1EDC">
            <w:pPr>
              <w:pStyle w:val="Tableau"/>
              <w:spacing w:before="0"/>
              <w:cnfStyle w:val="000000000000" w:firstRow="0" w:lastRow="0" w:firstColumn="0" w:lastColumn="0" w:oddVBand="0" w:evenVBand="0" w:oddHBand="0" w:evenHBand="0" w:firstRowFirstColumn="0" w:firstRowLastColumn="0" w:lastRowFirstColumn="0" w:lastRowLastColumn="0"/>
              <w:rPr>
                <w:b w:val="0"/>
                <w:sz w:val="24"/>
                <w:szCs w:val="24"/>
              </w:rPr>
            </w:pPr>
            <w:r w:rsidRPr="004E1EDC">
              <w:rPr>
                <w:b w:val="0"/>
                <w:sz w:val="24"/>
                <w:szCs w:val="24"/>
              </w:rPr>
              <w:lastRenderedPageBreak/>
              <w:t xml:space="preserve">Spécificités du contexte institutionnel universitaire, </w:t>
            </w:r>
            <w:r w:rsidRPr="004E1EDC">
              <w:rPr>
                <w:b w:val="0"/>
                <w:sz w:val="24"/>
                <w:szCs w:val="24"/>
              </w:rPr>
              <w:lastRenderedPageBreak/>
              <w:t>introduction à l’utilisation du canevas (5 minutes)</w:t>
            </w:r>
          </w:p>
          <w:p w14:paraId="22F4CCBF" w14:textId="77777777" w:rsidR="004E1EDC" w:rsidRPr="004E1EDC" w:rsidRDefault="004E1EDC" w:rsidP="004E1EDC">
            <w:pPr>
              <w:pStyle w:val="Tableau"/>
              <w:spacing w:before="0"/>
              <w:cnfStyle w:val="000000000000" w:firstRow="0" w:lastRow="0" w:firstColumn="0" w:lastColumn="0" w:oddVBand="0" w:evenVBand="0" w:oddHBand="0" w:evenHBand="0" w:firstRowFirstColumn="0" w:firstRowLastColumn="0" w:lastRowFirstColumn="0" w:lastRowLastColumn="0"/>
              <w:rPr>
                <w:b w:val="0"/>
                <w:sz w:val="24"/>
                <w:szCs w:val="24"/>
              </w:rPr>
            </w:pPr>
            <w:r w:rsidRPr="004E1EDC">
              <w:rPr>
                <w:b w:val="0"/>
                <w:sz w:val="24"/>
                <w:szCs w:val="24"/>
              </w:rPr>
              <w:t>Constitution des groupes et choix d’un scénario associant une expérience d’apprentissage réaliste et un outil numérique du marché (5 minutes)</w:t>
            </w:r>
          </w:p>
          <w:p w14:paraId="7FADA0AF" w14:textId="245F77C8" w:rsidR="009329D3" w:rsidRPr="00C758C7" w:rsidRDefault="004E1EDC" w:rsidP="004E1EDC">
            <w:pPr>
              <w:pStyle w:val="Tableau"/>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4E1EDC">
              <w:rPr>
                <w:b w:val="0"/>
                <w:sz w:val="24"/>
                <w:szCs w:val="24"/>
              </w:rPr>
              <w:t>Analyse du scénario avec le canevas (20 minutes)</w:t>
            </w:r>
          </w:p>
        </w:tc>
        <w:tc>
          <w:tcPr>
            <w:tcW w:w="3020" w:type="dxa"/>
          </w:tcPr>
          <w:p w14:paraId="42FA4C4A" w14:textId="504DF0A0" w:rsidR="009329D3" w:rsidRPr="00E40344" w:rsidRDefault="00DF2D13" w:rsidP="006C4269">
            <w:pPr>
              <w:pStyle w:val="Tableau"/>
              <w:spacing w:before="0" w:after="0"/>
              <w:cnfStyle w:val="000000000000" w:firstRow="0" w:lastRow="0" w:firstColumn="0" w:lastColumn="0" w:oddVBand="0" w:evenVBand="0" w:oddHBand="0" w:evenHBand="0" w:firstRowFirstColumn="0" w:firstRowLastColumn="0" w:lastRowFirstColumn="0" w:lastRowLastColumn="0"/>
              <w:rPr>
                <w:b w:val="0"/>
                <w:sz w:val="24"/>
                <w:szCs w:val="24"/>
              </w:rPr>
            </w:pPr>
            <w:r w:rsidRPr="00E40344">
              <w:rPr>
                <w:b w:val="0"/>
                <w:sz w:val="24"/>
                <w:szCs w:val="24"/>
              </w:rPr>
              <w:lastRenderedPageBreak/>
              <w:t>Activité collaborative en groupes de 3/4 personnes : 30 minutes</w:t>
            </w:r>
          </w:p>
        </w:tc>
      </w:tr>
      <w:tr w:rsidR="009329D3" w14:paraId="640B0271" w14:textId="77777777" w:rsidTr="00F77BFE">
        <w:trPr>
          <w:trHeight w:val="227"/>
        </w:trPr>
        <w:tc>
          <w:tcPr>
            <w:cnfStyle w:val="001000000000" w:firstRow="0" w:lastRow="0" w:firstColumn="1" w:lastColumn="0" w:oddVBand="0" w:evenVBand="0" w:oddHBand="0" w:evenHBand="0" w:firstRowFirstColumn="0" w:firstRowLastColumn="0" w:lastRowFirstColumn="0" w:lastRowLastColumn="0"/>
            <w:tcW w:w="3020" w:type="dxa"/>
          </w:tcPr>
          <w:p w14:paraId="15A660AD" w14:textId="16EA5E0D" w:rsidR="009329D3" w:rsidRPr="00C758C7" w:rsidRDefault="004E2FF8" w:rsidP="006C4269">
            <w:pPr>
              <w:pStyle w:val="Tableau"/>
              <w:spacing w:before="0" w:after="0"/>
              <w:rPr>
                <w:sz w:val="24"/>
                <w:szCs w:val="24"/>
              </w:rPr>
            </w:pPr>
            <w:r w:rsidRPr="004E2FF8">
              <w:rPr>
                <w:sz w:val="24"/>
                <w:szCs w:val="24"/>
              </w:rPr>
              <w:t>Partie 3 : réflexion sur l’utilisation du canevas, évaluation du potentiel du canevas comme outil pour l’enseignement et intégration à sa propre pratique</w:t>
            </w:r>
          </w:p>
        </w:tc>
        <w:tc>
          <w:tcPr>
            <w:tcW w:w="3020" w:type="dxa"/>
          </w:tcPr>
          <w:p w14:paraId="5C5B93C1" w14:textId="69DC9EB8" w:rsidR="00210966" w:rsidRPr="00AD1223" w:rsidRDefault="00BA2027" w:rsidP="00210966">
            <w:pPr>
              <w:pStyle w:val="Tableau"/>
              <w:spacing w:before="0"/>
              <w:cnfStyle w:val="000000000000" w:firstRow="0" w:lastRow="0" w:firstColumn="0" w:lastColumn="0" w:oddVBand="0" w:evenVBand="0" w:oddHBand="0" w:evenHBand="0" w:firstRowFirstColumn="0" w:firstRowLastColumn="0" w:lastRowFirstColumn="0" w:lastRowLastColumn="0"/>
              <w:rPr>
                <w:b w:val="0"/>
                <w:sz w:val="24"/>
                <w:szCs w:val="24"/>
              </w:rPr>
            </w:pPr>
            <w:r>
              <w:rPr>
                <w:b w:val="0"/>
                <w:sz w:val="24"/>
                <w:szCs w:val="24"/>
              </w:rPr>
              <w:t>Analyse d’expérience et r</w:t>
            </w:r>
            <w:r w:rsidR="00903AE2">
              <w:rPr>
                <w:b w:val="0"/>
                <w:sz w:val="24"/>
                <w:szCs w:val="24"/>
              </w:rPr>
              <w:t>éflexion</w:t>
            </w:r>
            <w:r w:rsidR="002031DC">
              <w:rPr>
                <w:b w:val="0"/>
                <w:sz w:val="24"/>
                <w:szCs w:val="24"/>
              </w:rPr>
              <w:t xml:space="preserve"> collaborative en groupes</w:t>
            </w:r>
            <w:r w:rsidR="00903AE2">
              <w:rPr>
                <w:b w:val="0"/>
                <w:sz w:val="24"/>
                <w:szCs w:val="24"/>
              </w:rPr>
              <w:t xml:space="preserve"> sur l’utilisation du canevas </w:t>
            </w:r>
            <w:r w:rsidR="002C7275">
              <w:rPr>
                <w:b w:val="0"/>
                <w:sz w:val="24"/>
                <w:szCs w:val="24"/>
              </w:rPr>
              <w:t>puis retour en plenum (10 minutes)</w:t>
            </w:r>
          </w:p>
          <w:p w14:paraId="2AD779E2" w14:textId="4B72B380" w:rsidR="009329D3" w:rsidRPr="00C758C7" w:rsidRDefault="00CA30F0" w:rsidP="00210966">
            <w:pPr>
              <w:pStyle w:val="Tableau"/>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b w:val="0"/>
                <w:sz w:val="24"/>
                <w:szCs w:val="24"/>
              </w:rPr>
              <w:t>Réflexion</w:t>
            </w:r>
            <w:r w:rsidR="002C7275">
              <w:rPr>
                <w:b w:val="0"/>
                <w:sz w:val="24"/>
                <w:szCs w:val="24"/>
              </w:rPr>
              <w:t xml:space="preserve"> personnelle sur l’intégration à sa propre pratique</w:t>
            </w:r>
            <w:r w:rsidR="00903AE2">
              <w:rPr>
                <w:b w:val="0"/>
                <w:sz w:val="24"/>
                <w:szCs w:val="24"/>
              </w:rPr>
              <w:t xml:space="preserve"> </w:t>
            </w:r>
            <w:r w:rsidR="00210966">
              <w:rPr>
                <w:b w:val="0"/>
                <w:sz w:val="24"/>
                <w:szCs w:val="24"/>
              </w:rPr>
              <w:t>(</w:t>
            </w:r>
            <w:r w:rsidR="002C7275">
              <w:rPr>
                <w:b w:val="0"/>
                <w:sz w:val="24"/>
                <w:szCs w:val="24"/>
              </w:rPr>
              <w:t>5</w:t>
            </w:r>
            <w:r w:rsidR="00210966">
              <w:rPr>
                <w:b w:val="0"/>
                <w:sz w:val="24"/>
                <w:szCs w:val="24"/>
              </w:rPr>
              <w:t xml:space="preserve"> minutes)</w:t>
            </w:r>
          </w:p>
        </w:tc>
        <w:tc>
          <w:tcPr>
            <w:tcW w:w="3020" w:type="dxa"/>
          </w:tcPr>
          <w:p w14:paraId="276B8CF3" w14:textId="7A8A38A0" w:rsidR="009329D3" w:rsidRPr="007A0836" w:rsidRDefault="004E2FF8" w:rsidP="006C4269">
            <w:pPr>
              <w:pStyle w:val="Tableau"/>
              <w:spacing w:before="0" w:after="0"/>
              <w:cnfStyle w:val="000000000000" w:firstRow="0" w:lastRow="0" w:firstColumn="0" w:lastColumn="0" w:oddVBand="0" w:evenVBand="0" w:oddHBand="0" w:evenHBand="0" w:firstRowFirstColumn="0" w:firstRowLastColumn="0" w:lastRowFirstColumn="0" w:lastRowLastColumn="0"/>
              <w:rPr>
                <w:b w:val="0"/>
                <w:sz w:val="24"/>
                <w:szCs w:val="24"/>
              </w:rPr>
            </w:pPr>
            <w:r w:rsidRPr="007A0836">
              <w:rPr>
                <w:b w:val="0"/>
                <w:sz w:val="24"/>
                <w:szCs w:val="24"/>
              </w:rPr>
              <w:t>Activité collaborative en groupes puis activité individuelle :</w:t>
            </w:r>
            <w:r w:rsidR="00E50EEA" w:rsidRPr="007A0836">
              <w:rPr>
                <w:b w:val="0"/>
                <w:sz w:val="24"/>
                <w:szCs w:val="24"/>
              </w:rPr>
              <w:br/>
            </w:r>
            <w:r w:rsidRPr="007A0836">
              <w:rPr>
                <w:b w:val="0"/>
                <w:sz w:val="24"/>
                <w:szCs w:val="24"/>
              </w:rPr>
              <w:t>15 minutes</w:t>
            </w:r>
          </w:p>
        </w:tc>
      </w:tr>
      <w:tr w:rsidR="00F77BFE" w14:paraId="1DE5DA5B" w14:textId="77777777" w:rsidTr="00F77BFE">
        <w:trPr>
          <w:trHeight w:val="227"/>
        </w:trPr>
        <w:tc>
          <w:tcPr>
            <w:cnfStyle w:val="001000000000" w:firstRow="0" w:lastRow="0" w:firstColumn="1" w:lastColumn="0" w:oddVBand="0" w:evenVBand="0" w:oddHBand="0" w:evenHBand="0" w:firstRowFirstColumn="0" w:firstRowLastColumn="0" w:lastRowFirstColumn="0" w:lastRowLastColumn="0"/>
            <w:tcW w:w="3020" w:type="dxa"/>
          </w:tcPr>
          <w:p w14:paraId="123ACCE0" w14:textId="48684DCD" w:rsidR="00F77BFE" w:rsidRPr="004E2FF8" w:rsidRDefault="00A67650" w:rsidP="006C4269">
            <w:pPr>
              <w:pStyle w:val="Tableau"/>
              <w:spacing w:before="0" w:after="0"/>
              <w:rPr>
                <w:sz w:val="24"/>
                <w:szCs w:val="24"/>
              </w:rPr>
            </w:pPr>
            <w:r w:rsidRPr="00A67650">
              <w:rPr>
                <w:sz w:val="24"/>
                <w:szCs w:val="24"/>
              </w:rPr>
              <w:t>Partie 4 : identification des messages clés et synthèse</w:t>
            </w:r>
          </w:p>
        </w:tc>
        <w:tc>
          <w:tcPr>
            <w:tcW w:w="3020" w:type="dxa"/>
          </w:tcPr>
          <w:p w14:paraId="312F23FE" w14:textId="3A1758E4" w:rsidR="00F77BFE" w:rsidRPr="00AD1223" w:rsidRDefault="00DD4714" w:rsidP="00AD1223">
            <w:pPr>
              <w:pStyle w:val="Tableau"/>
              <w:spacing w:before="0"/>
              <w:cnfStyle w:val="000000000000" w:firstRow="0" w:lastRow="0" w:firstColumn="0" w:lastColumn="0" w:oddVBand="0" w:evenVBand="0" w:oddHBand="0" w:evenHBand="0" w:firstRowFirstColumn="0" w:firstRowLastColumn="0" w:lastRowFirstColumn="0" w:lastRowLastColumn="0"/>
              <w:rPr>
                <w:b w:val="0"/>
                <w:sz w:val="24"/>
                <w:szCs w:val="24"/>
              </w:rPr>
            </w:pPr>
            <w:r>
              <w:rPr>
                <w:b w:val="0"/>
                <w:sz w:val="24"/>
                <w:szCs w:val="24"/>
              </w:rPr>
              <w:t>Synthèse</w:t>
            </w:r>
            <w:r w:rsidR="00AD1223" w:rsidRPr="00AD1223">
              <w:rPr>
                <w:b w:val="0"/>
                <w:sz w:val="24"/>
                <w:szCs w:val="24"/>
              </w:rPr>
              <w:t xml:space="preserve"> personnelle (</w:t>
            </w:r>
            <w:r w:rsidR="00AD1223">
              <w:rPr>
                <w:b w:val="0"/>
                <w:sz w:val="24"/>
                <w:szCs w:val="24"/>
              </w:rPr>
              <w:t>2</w:t>
            </w:r>
            <w:r w:rsidR="00AD1223" w:rsidRPr="00AD1223">
              <w:rPr>
                <w:b w:val="0"/>
                <w:sz w:val="24"/>
                <w:szCs w:val="24"/>
              </w:rPr>
              <w:t xml:space="preserve"> minute</w:t>
            </w:r>
            <w:r w:rsidR="00AD1223">
              <w:rPr>
                <w:b w:val="0"/>
                <w:sz w:val="24"/>
                <w:szCs w:val="24"/>
              </w:rPr>
              <w:t>s</w:t>
            </w:r>
            <w:r w:rsidR="00AD1223" w:rsidRPr="00AD1223">
              <w:rPr>
                <w:b w:val="0"/>
                <w:sz w:val="24"/>
                <w:szCs w:val="24"/>
              </w:rPr>
              <w:t>)</w:t>
            </w:r>
          </w:p>
          <w:p w14:paraId="74D26FC2" w14:textId="45266FBE" w:rsidR="00AD1223" w:rsidRPr="00C758C7" w:rsidRDefault="004D5CBF" w:rsidP="009B0368">
            <w:pPr>
              <w:pStyle w:val="Tableau"/>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b w:val="0"/>
                <w:sz w:val="24"/>
                <w:szCs w:val="24"/>
              </w:rPr>
              <w:t>M</w:t>
            </w:r>
            <w:r w:rsidR="00AD1223" w:rsidRPr="00AD1223">
              <w:rPr>
                <w:b w:val="0"/>
                <w:sz w:val="24"/>
                <w:szCs w:val="24"/>
              </w:rPr>
              <w:t>ise en perspective</w:t>
            </w:r>
            <w:r w:rsidR="00AD1223">
              <w:rPr>
                <w:b w:val="0"/>
                <w:sz w:val="24"/>
                <w:szCs w:val="24"/>
              </w:rPr>
              <w:t xml:space="preserve"> </w:t>
            </w:r>
            <w:r>
              <w:rPr>
                <w:b w:val="0"/>
                <w:sz w:val="24"/>
                <w:szCs w:val="24"/>
              </w:rPr>
              <w:t>et conclusion</w:t>
            </w:r>
            <w:r w:rsidR="00903AE2">
              <w:rPr>
                <w:b w:val="0"/>
                <w:sz w:val="24"/>
                <w:szCs w:val="24"/>
              </w:rPr>
              <w:t xml:space="preserve"> </w:t>
            </w:r>
            <w:r w:rsidR="00AD1223">
              <w:rPr>
                <w:b w:val="0"/>
                <w:sz w:val="24"/>
                <w:szCs w:val="24"/>
              </w:rPr>
              <w:t>(3 minutes)</w:t>
            </w:r>
          </w:p>
        </w:tc>
        <w:tc>
          <w:tcPr>
            <w:tcW w:w="3020" w:type="dxa"/>
          </w:tcPr>
          <w:p w14:paraId="48166322" w14:textId="42A675DA" w:rsidR="00F77BFE" w:rsidRPr="007A0836" w:rsidRDefault="00A67650" w:rsidP="006C4269">
            <w:pPr>
              <w:pStyle w:val="Tableau"/>
              <w:spacing w:before="0" w:after="0"/>
              <w:cnfStyle w:val="000000000000" w:firstRow="0" w:lastRow="0" w:firstColumn="0" w:lastColumn="0" w:oddVBand="0" w:evenVBand="0" w:oddHBand="0" w:evenHBand="0" w:firstRowFirstColumn="0" w:firstRowLastColumn="0" w:lastRowFirstColumn="0" w:lastRowLastColumn="0"/>
              <w:rPr>
                <w:b w:val="0"/>
                <w:sz w:val="24"/>
                <w:szCs w:val="24"/>
              </w:rPr>
            </w:pPr>
            <w:r>
              <w:rPr>
                <w:b w:val="0"/>
                <w:sz w:val="24"/>
                <w:szCs w:val="24"/>
              </w:rPr>
              <w:t>A</w:t>
            </w:r>
            <w:r w:rsidRPr="00A67650">
              <w:rPr>
                <w:b w:val="0"/>
                <w:sz w:val="24"/>
                <w:szCs w:val="24"/>
              </w:rPr>
              <w:t>ctivité individuelle</w:t>
            </w:r>
            <w:r w:rsidR="00903AE2">
              <w:rPr>
                <w:b w:val="0"/>
                <w:sz w:val="24"/>
                <w:szCs w:val="24"/>
              </w:rPr>
              <w:t xml:space="preserve"> et présentation</w:t>
            </w:r>
            <w:r>
              <w:rPr>
                <w:b w:val="0"/>
                <w:sz w:val="24"/>
                <w:szCs w:val="24"/>
              </w:rPr>
              <w:t> :</w:t>
            </w:r>
            <w:r>
              <w:rPr>
                <w:b w:val="0"/>
                <w:sz w:val="24"/>
                <w:szCs w:val="24"/>
              </w:rPr>
              <w:br/>
            </w:r>
            <w:r w:rsidRPr="00A67650">
              <w:rPr>
                <w:b w:val="0"/>
                <w:sz w:val="24"/>
                <w:szCs w:val="24"/>
              </w:rPr>
              <w:t>5 minutes</w:t>
            </w:r>
          </w:p>
        </w:tc>
      </w:tr>
    </w:tbl>
    <w:p w14:paraId="0496FE90" w14:textId="59BA2F95" w:rsidR="00082F7F" w:rsidRDefault="00082F7F" w:rsidP="008D0B38">
      <w:pPr>
        <w:spacing w:before="200"/>
      </w:pPr>
      <w:r>
        <w:t xml:space="preserve">Les </w:t>
      </w:r>
      <w:proofErr w:type="spellStart"/>
      <w:r>
        <w:t>participant</w:t>
      </w:r>
      <w:r w:rsidR="006340B3">
        <w:t>·e</w:t>
      </w:r>
      <w:r>
        <w:t>s</w:t>
      </w:r>
      <w:proofErr w:type="spellEnd"/>
      <w:r>
        <w:t xml:space="preserve"> auront à disposition les suppo</w:t>
      </w:r>
      <w:r w:rsidR="004F13F6">
        <w:t xml:space="preserve">rts de présentation </w:t>
      </w:r>
      <w:r w:rsidR="00696E61">
        <w:t>ainsi que des fiches techniques résumant les conditions d’utilisation</w:t>
      </w:r>
      <w:r w:rsidR="00606EA6">
        <w:t xml:space="preserve"> et de protection de la vie privée</w:t>
      </w:r>
      <w:r w:rsidR="00696E61">
        <w:t xml:space="preserve"> de différents outils numériques largement utilisés dans l’enseignement supérieur.</w:t>
      </w:r>
    </w:p>
    <w:p w14:paraId="3EBDAC15" w14:textId="3854CAD0" w:rsidR="00AB4DAA" w:rsidRDefault="001C2CC7" w:rsidP="00A54B5F">
      <w:r>
        <w:t xml:space="preserve">Nombre maximum de </w:t>
      </w:r>
      <w:proofErr w:type="spellStart"/>
      <w:r>
        <w:t>participant</w:t>
      </w:r>
      <w:r w:rsidR="006340B3">
        <w:t>·e</w:t>
      </w:r>
      <w:r>
        <w:t>s</w:t>
      </w:r>
      <w:proofErr w:type="spellEnd"/>
      <w:r>
        <w:t xml:space="preserve"> : </w:t>
      </w:r>
      <w:r w:rsidR="0078758E">
        <w:t xml:space="preserve">nous disposons de 10 canevas imprimés au format A0, ce qui permet d’organiser 10 groupes de 3 à 4 personnes, soit un total de 30 à 40 </w:t>
      </w:r>
      <w:proofErr w:type="spellStart"/>
      <w:r w:rsidR="0078758E">
        <w:t>participant</w:t>
      </w:r>
      <w:r w:rsidR="001076AD">
        <w:t>·e</w:t>
      </w:r>
      <w:r w:rsidR="0078758E">
        <w:t>s</w:t>
      </w:r>
      <w:proofErr w:type="spellEnd"/>
      <w:r w:rsidR="00857D75">
        <w:t xml:space="preserve"> maximum</w:t>
      </w:r>
      <w:r w:rsidR="0078758E">
        <w:t xml:space="preserve">. </w:t>
      </w:r>
    </w:p>
    <w:p w14:paraId="3AA86316" w14:textId="17BA174E" w:rsidR="007E0E35" w:rsidRDefault="00BD473C" w:rsidP="00A54B5F">
      <w:r>
        <w:t>Besoins logistiques : l</w:t>
      </w:r>
      <w:r w:rsidR="0078758E">
        <w:t>a capacité de la salle devra permettre la création de 10 ilots pour accueillir les groupes</w:t>
      </w:r>
      <w:r w:rsidR="0089197C">
        <w:t xml:space="preserve"> (</w:t>
      </w:r>
      <w:r w:rsidR="0078758E">
        <w:t>par exemple en rapprochant 2 tables ensemble</w:t>
      </w:r>
      <w:r w:rsidR="0089197C">
        <w:t>)</w:t>
      </w:r>
      <w:r w:rsidR="008B5B79">
        <w:t xml:space="preserve"> et</w:t>
      </w:r>
      <w:r w:rsidR="00E80FFB">
        <w:t xml:space="preserve"> nous aurons besoin d’un </w:t>
      </w:r>
      <w:r w:rsidR="00E06AC3">
        <w:t>vidéoprojecteur</w:t>
      </w:r>
      <w:r w:rsidR="00E80FFB">
        <w:t>.</w:t>
      </w:r>
    </w:p>
    <w:p w14:paraId="7DC0F425" w14:textId="77777777" w:rsidR="004520B1" w:rsidRDefault="004520B1">
      <w:pPr>
        <w:spacing w:before="0" w:line="240" w:lineRule="auto"/>
        <w:jc w:val="left"/>
        <w:rPr>
          <w:rFonts w:ascii="Times New Roman" w:eastAsia="SimSun" w:hAnsi="Times New Roman" w:cs="Arial"/>
          <w:b/>
          <w:color w:val="000000"/>
        </w:rPr>
      </w:pPr>
      <w:r>
        <w:br w:type="page"/>
      </w:r>
    </w:p>
    <w:p w14:paraId="7A2469EF" w14:textId="251A51CD" w:rsidR="00D408D1" w:rsidRDefault="00D408D1" w:rsidP="00D3313E">
      <w:pPr>
        <w:pStyle w:val="Subtitle"/>
      </w:pPr>
      <w:r>
        <w:lastRenderedPageBreak/>
        <w:t>Références bibliographiques</w:t>
      </w:r>
    </w:p>
    <w:p w14:paraId="418BAED3" w14:textId="77777777" w:rsidR="00614991" w:rsidRPr="00614991" w:rsidRDefault="001A640C" w:rsidP="00614991">
      <w:pPr>
        <w:pStyle w:val="Bibliography"/>
        <w:rPr>
          <w:rFonts w:cs="Times"/>
          <w:sz w:val="20"/>
        </w:rPr>
      </w:pPr>
      <w:r>
        <w:rPr>
          <w:sz w:val="20"/>
        </w:rPr>
        <w:fldChar w:fldCharType="begin"/>
      </w:r>
      <w:r>
        <w:rPr>
          <w:sz w:val="20"/>
        </w:rPr>
        <w:instrText xml:space="preserve"> ADDIN ZOTERO_BIBL {"uncited":[],"omitted":[],"custom":[]} CSL_BIBLIOGRAPHY </w:instrText>
      </w:r>
      <w:r>
        <w:rPr>
          <w:sz w:val="20"/>
        </w:rPr>
        <w:fldChar w:fldCharType="separate"/>
      </w:r>
      <w:r w:rsidR="00614991" w:rsidRPr="00614991">
        <w:rPr>
          <w:rFonts w:cs="Times"/>
          <w:sz w:val="20"/>
        </w:rPr>
        <w:t xml:space="preserve">Albero, B. (2010). Une approche sociotechnique des environnements de formation. </w:t>
      </w:r>
      <w:r w:rsidR="00614991" w:rsidRPr="00614991">
        <w:rPr>
          <w:rFonts w:cs="Times"/>
          <w:i/>
          <w:iCs/>
          <w:sz w:val="20"/>
        </w:rPr>
        <w:t>Éducation et didactique</w:t>
      </w:r>
      <w:r w:rsidR="00614991" w:rsidRPr="00614991">
        <w:rPr>
          <w:rFonts w:cs="Times"/>
          <w:sz w:val="20"/>
        </w:rPr>
        <w:t xml:space="preserve">, </w:t>
      </w:r>
      <w:r w:rsidR="00614991" w:rsidRPr="00614991">
        <w:rPr>
          <w:rFonts w:cs="Times"/>
          <w:i/>
          <w:iCs/>
          <w:sz w:val="20"/>
        </w:rPr>
        <w:t>4–1</w:t>
      </w:r>
      <w:r w:rsidR="00614991" w:rsidRPr="00614991">
        <w:rPr>
          <w:rFonts w:cs="Times"/>
          <w:sz w:val="20"/>
        </w:rPr>
        <w:t>, Article 4–1. https://doi.org/10.4000/educationdidactique.715</w:t>
      </w:r>
    </w:p>
    <w:p w14:paraId="26BEA414" w14:textId="77777777" w:rsidR="00614991" w:rsidRPr="00614991" w:rsidRDefault="00614991" w:rsidP="00614991">
      <w:pPr>
        <w:pStyle w:val="Bibliography"/>
        <w:rPr>
          <w:rFonts w:cs="Times"/>
          <w:sz w:val="20"/>
          <w:lang w:val="en-US"/>
        </w:rPr>
      </w:pPr>
      <w:r w:rsidRPr="00614991">
        <w:rPr>
          <w:rFonts w:cs="Times"/>
          <w:sz w:val="20"/>
        </w:rPr>
        <w:t xml:space="preserve">Amhag, L., Hellström, L., &amp; Stigmar, M. (2019). </w:t>
      </w:r>
      <w:r w:rsidRPr="00614991">
        <w:rPr>
          <w:rFonts w:cs="Times"/>
          <w:sz w:val="20"/>
          <w:lang w:val="en-US"/>
        </w:rPr>
        <w:t xml:space="preserve">Teacher Educators’ Use of Digital Tools and Needs for Digital Competence in Higher Education. </w:t>
      </w:r>
      <w:r w:rsidRPr="00614991">
        <w:rPr>
          <w:rFonts w:cs="Times"/>
          <w:i/>
          <w:iCs/>
          <w:sz w:val="20"/>
          <w:lang w:val="en-US"/>
        </w:rPr>
        <w:t>Journal of Digital Learning in Teacher Education</w:t>
      </w:r>
      <w:r w:rsidRPr="00614991">
        <w:rPr>
          <w:rFonts w:cs="Times"/>
          <w:sz w:val="20"/>
          <w:lang w:val="en-US"/>
        </w:rPr>
        <w:t xml:space="preserve">, </w:t>
      </w:r>
      <w:r w:rsidRPr="00614991">
        <w:rPr>
          <w:rFonts w:cs="Times"/>
          <w:i/>
          <w:iCs/>
          <w:sz w:val="20"/>
          <w:lang w:val="en-US"/>
        </w:rPr>
        <w:t>35</w:t>
      </w:r>
      <w:r w:rsidRPr="00614991">
        <w:rPr>
          <w:rFonts w:cs="Times"/>
          <w:sz w:val="20"/>
          <w:lang w:val="en-US"/>
        </w:rPr>
        <w:t>(4), 203–220. https://doi.org/10.1080/21532974.2019.1646169</w:t>
      </w:r>
    </w:p>
    <w:p w14:paraId="7AA95B6B" w14:textId="77777777" w:rsidR="00614991" w:rsidRPr="00614991" w:rsidRDefault="00614991" w:rsidP="00614991">
      <w:pPr>
        <w:pStyle w:val="Bibliography"/>
        <w:rPr>
          <w:rFonts w:cs="Times"/>
          <w:sz w:val="20"/>
          <w:lang w:val="en-US"/>
        </w:rPr>
      </w:pPr>
      <w:r w:rsidRPr="00614991">
        <w:rPr>
          <w:rFonts w:cs="Times"/>
          <w:sz w:val="20"/>
          <w:lang w:val="en-US"/>
        </w:rPr>
        <w:t xml:space="preserve">Boghian, I., Popescu, C.-V., &amp; Ardeleanu, R. (2022). Responsible Online Ethical Teaching in Higher Education During the COVID-19 Pandemic. In L. Mâță (Ed.), </w:t>
      </w:r>
      <w:r w:rsidRPr="00614991">
        <w:rPr>
          <w:rFonts w:cs="Times"/>
          <w:i/>
          <w:iCs/>
          <w:sz w:val="20"/>
          <w:lang w:val="en-US"/>
        </w:rPr>
        <w:t>Ethical Use of Information Technology in Higher Education</w:t>
      </w:r>
      <w:r w:rsidRPr="00614991">
        <w:rPr>
          <w:rFonts w:cs="Times"/>
          <w:sz w:val="20"/>
          <w:lang w:val="en-US"/>
        </w:rPr>
        <w:t xml:space="preserve"> (pp. 195–209). Springer. https://doi.org/10.1007/978-981-16-1951-9_13</w:t>
      </w:r>
    </w:p>
    <w:p w14:paraId="4E251500" w14:textId="77777777" w:rsidR="00614991" w:rsidRPr="00614991" w:rsidRDefault="00614991" w:rsidP="00614991">
      <w:pPr>
        <w:pStyle w:val="Bibliography"/>
        <w:rPr>
          <w:rFonts w:cs="Times"/>
          <w:sz w:val="20"/>
          <w:lang w:val="en-US"/>
        </w:rPr>
      </w:pPr>
      <w:r w:rsidRPr="00614991">
        <w:rPr>
          <w:rFonts w:cs="Times"/>
          <w:sz w:val="20"/>
          <w:lang w:val="en-US"/>
        </w:rPr>
        <w:t xml:space="preserve">Boratto, L., Fenu, G., &amp; Marras, M. (2019). The Effect of Algorithmic Bias on Recommender Systems for Massive Open Online Courses. In L. Azzopardi, B. Stein, N. Fuhr, P. Mayr, C. Hauff, &amp; D. Hiemstra (Eds.), </w:t>
      </w:r>
      <w:r w:rsidRPr="00614991">
        <w:rPr>
          <w:rFonts w:cs="Times"/>
          <w:i/>
          <w:iCs/>
          <w:sz w:val="20"/>
          <w:lang w:val="en-US"/>
        </w:rPr>
        <w:t>Advances in Information Retrieval</w:t>
      </w:r>
      <w:r w:rsidRPr="00614991">
        <w:rPr>
          <w:rFonts w:cs="Times"/>
          <w:sz w:val="20"/>
          <w:lang w:val="en-US"/>
        </w:rPr>
        <w:t xml:space="preserve"> (pp. 457–472). Springer International Publishing. https://doi.org/10.1007/978-3-030-15712-8_30</w:t>
      </w:r>
    </w:p>
    <w:p w14:paraId="7FA38806" w14:textId="77777777" w:rsidR="00614991" w:rsidRPr="00614991" w:rsidRDefault="00614991" w:rsidP="00614991">
      <w:pPr>
        <w:pStyle w:val="Bibliography"/>
        <w:rPr>
          <w:rFonts w:cs="Times"/>
          <w:sz w:val="20"/>
        </w:rPr>
      </w:pPr>
      <w:r w:rsidRPr="00614991">
        <w:rPr>
          <w:rFonts w:cs="Times"/>
          <w:sz w:val="20"/>
          <w:lang w:val="en-US"/>
        </w:rPr>
        <w:t xml:space="preserve">Bournaveas, V., Gueye, M., Cimpan, S., &amp; Expósito, E. (2021). </w:t>
      </w:r>
      <w:r w:rsidRPr="00614991">
        <w:rPr>
          <w:rFonts w:cs="Times"/>
          <w:i/>
          <w:iCs/>
          <w:sz w:val="20"/>
        </w:rPr>
        <w:t>Penser l’hybridation avec l’appui des Learning Analytics: L’approche HyPE 13 pour la formation des enseignants</w:t>
      </w:r>
      <w:r w:rsidRPr="00614991">
        <w:rPr>
          <w:rFonts w:cs="Times"/>
          <w:sz w:val="20"/>
        </w:rPr>
        <w:t>. https://hal-u-bordeaux-montaigne.archives-ouvertes.fr/hal-03659104</w:t>
      </w:r>
    </w:p>
    <w:p w14:paraId="3FA64504" w14:textId="77777777" w:rsidR="00614991" w:rsidRPr="00614991" w:rsidRDefault="00614991" w:rsidP="00614991">
      <w:pPr>
        <w:pStyle w:val="Bibliography"/>
        <w:rPr>
          <w:rFonts w:cs="Times"/>
          <w:sz w:val="20"/>
          <w:lang w:val="en-US"/>
        </w:rPr>
      </w:pPr>
      <w:r w:rsidRPr="00614991">
        <w:rPr>
          <w:rFonts w:cs="Times"/>
          <w:sz w:val="20"/>
          <w:lang w:val="en-US"/>
        </w:rPr>
        <w:t xml:space="preserve">Cardia, I. V., Holzer, A., Xu, Y., Maitland, C., &amp; Gillet, D. (2017). Towards a Principled Approach to Humanitarian Information and Communication Technology. </w:t>
      </w:r>
      <w:r w:rsidRPr="00614991">
        <w:rPr>
          <w:rFonts w:cs="Times"/>
          <w:i/>
          <w:iCs/>
          <w:sz w:val="20"/>
          <w:lang w:val="en-US"/>
        </w:rPr>
        <w:t>Proceedings of the Ninth International Conference on Information and Communication Technologies and Development</w:t>
      </w:r>
      <w:r w:rsidRPr="00614991">
        <w:rPr>
          <w:rFonts w:cs="Times"/>
          <w:sz w:val="20"/>
          <w:lang w:val="en-US"/>
        </w:rPr>
        <w:t>, 1–5. https://doi.org/10.1145/3136560.3136588</w:t>
      </w:r>
    </w:p>
    <w:p w14:paraId="68B28796" w14:textId="77777777" w:rsidR="00614991" w:rsidRPr="00614991" w:rsidRDefault="00614991" w:rsidP="00614991">
      <w:pPr>
        <w:pStyle w:val="Bibliography"/>
        <w:rPr>
          <w:rFonts w:cs="Times"/>
          <w:sz w:val="20"/>
        </w:rPr>
      </w:pPr>
      <w:r w:rsidRPr="00614991">
        <w:rPr>
          <w:rFonts w:cs="Times"/>
          <w:sz w:val="20"/>
        </w:rPr>
        <w:t xml:space="preserve">Duguet, A., Morlaix, S., &amp; Pérez, W. (2018). Utilisation du numérique par les enseignants à l’université: Description et analyse des facteurs explicatifs. </w:t>
      </w:r>
      <w:r w:rsidRPr="00614991">
        <w:rPr>
          <w:rFonts w:cs="Times"/>
          <w:i/>
          <w:iCs/>
          <w:sz w:val="20"/>
        </w:rPr>
        <w:t>Lien social et Politiques</w:t>
      </w:r>
      <w:r w:rsidRPr="00614991">
        <w:rPr>
          <w:rFonts w:cs="Times"/>
          <w:sz w:val="20"/>
        </w:rPr>
        <w:t xml:space="preserve">, </w:t>
      </w:r>
      <w:r w:rsidRPr="00614991">
        <w:rPr>
          <w:rFonts w:cs="Times"/>
          <w:i/>
          <w:iCs/>
          <w:sz w:val="20"/>
        </w:rPr>
        <w:t>81</w:t>
      </w:r>
      <w:r w:rsidRPr="00614991">
        <w:rPr>
          <w:rFonts w:cs="Times"/>
          <w:sz w:val="20"/>
        </w:rPr>
        <w:t>, 192–211. https://doi.org/10.7202/1056311ar</w:t>
      </w:r>
    </w:p>
    <w:p w14:paraId="24087D3B" w14:textId="77777777" w:rsidR="00614991" w:rsidRPr="00614991" w:rsidRDefault="00614991" w:rsidP="00614991">
      <w:pPr>
        <w:pStyle w:val="Bibliography"/>
        <w:rPr>
          <w:rFonts w:cs="Times"/>
          <w:sz w:val="20"/>
          <w:lang w:val="en-US"/>
        </w:rPr>
      </w:pPr>
      <w:r w:rsidRPr="00614991">
        <w:rPr>
          <w:rFonts w:cs="Times"/>
          <w:sz w:val="20"/>
        </w:rPr>
        <w:t xml:space="preserve">Dwivedi, Y. K., Hughes, L., Ismagilova, E., Aarts, G., Coombs, C., Crick, T., Duan, Y., Dwivedi, R., Edwards, J., Eirug, A., Galanos, V., Ilavarasan, P. V., Janssen, M., Jones, P., Kar, A. K., Kizgin, H., Kronemann, B., Lal, B., Lucini, B., … </w:t>
      </w:r>
      <w:r w:rsidRPr="00614991">
        <w:rPr>
          <w:rFonts w:cs="Times"/>
          <w:sz w:val="20"/>
          <w:lang w:val="en-US"/>
        </w:rPr>
        <w:t xml:space="preserve">Williams, M. D. (2021). Artificial Intelligence (AI): Multidisciplinary perspectives on emerging challenges, opportunities, and agenda for research, practice and policy. </w:t>
      </w:r>
      <w:r w:rsidRPr="00614991">
        <w:rPr>
          <w:rFonts w:cs="Times"/>
          <w:i/>
          <w:iCs/>
          <w:sz w:val="20"/>
          <w:lang w:val="en-US"/>
        </w:rPr>
        <w:t>International Journal of Information Management</w:t>
      </w:r>
      <w:r w:rsidRPr="00614991">
        <w:rPr>
          <w:rFonts w:cs="Times"/>
          <w:sz w:val="20"/>
          <w:lang w:val="en-US"/>
        </w:rPr>
        <w:t xml:space="preserve">, </w:t>
      </w:r>
      <w:r w:rsidRPr="00614991">
        <w:rPr>
          <w:rFonts w:cs="Times"/>
          <w:i/>
          <w:iCs/>
          <w:sz w:val="20"/>
          <w:lang w:val="en-US"/>
        </w:rPr>
        <w:t>57</w:t>
      </w:r>
      <w:r w:rsidRPr="00614991">
        <w:rPr>
          <w:rFonts w:cs="Times"/>
          <w:sz w:val="20"/>
          <w:lang w:val="en-US"/>
        </w:rPr>
        <w:t>, 101994. https://doi.org/10.1016/j.ijinfomgt.2019.08.002</w:t>
      </w:r>
    </w:p>
    <w:p w14:paraId="74B8FDF2" w14:textId="77777777" w:rsidR="00614991" w:rsidRPr="00614991" w:rsidRDefault="00614991" w:rsidP="00614991">
      <w:pPr>
        <w:pStyle w:val="Bibliography"/>
        <w:rPr>
          <w:rFonts w:cs="Times"/>
          <w:sz w:val="20"/>
          <w:lang w:val="en-US"/>
        </w:rPr>
      </w:pPr>
      <w:r w:rsidRPr="00614991">
        <w:rPr>
          <w:rFonts w:cs="Times"/>
          <w:sz w:val="20"/>
          <w:lang w:val="en-US"/>
        </w:rPr>
        <w:lastRenderedPageBreak/>
        <w:t xml:space="preserve">Hakimi, L., Eynon, R., &amp; Murphy, V. A. (2021). The Ethics of Using Digital Trace Data in Education: A Thematic Review of the Research Landscape. </w:t>
      </w:r>
      <w:r w:rsidRPr="00614991">
        <w:rPr>
          <w:rFonts w:cs="Times"/>
          <w:i/>
          <w:iCs/>
          <w:sz w:val="20"/>
          <w:lang w:val="en-US"/>
        </w:rPr>
        <w:t>Review of Educational Research</w:t>
      </w:r>
      <w:r w:rsidRPr="00614991">
        <w:rPr>
          <w:rFonts w:cs="Times"/>
          <w:sz w:val="20"/>
          <w:lang w:val="en-US"/>
        </w:rPr>
        <w:t xml:space="preserve">, </w:t>
      </w:r>
      <w:r w:rsidRPr="00614991">
        <w:rPr>
          <w:rFonts w:cs="Times"/>
          <w:i/>
          <w:iCs/>
          <w:sz w:val="20"/>
          <w:lang w:val="en-US"/>
        </w:rPr>
        <w:t>91</w:t>
      </w:r>
      <w:r w:rsidRPr="00614991">
        <w:rPr>
          <w:rFonts w:cs="Times"/>
          <w:sz w:val="20"/>
          <w:lang w:val="en-US"/>
        </w:rPr>
        <w:t>(5), 671–717. https://doi.org/10.3102/00346543211020116</w:t>
      </w:r>
    </w:p>
    <w:p w14:paraId="77F331FC" w14:textId="77777777" w:rsidR="00614991" w:rsidRPr="00614991" w:rsidRDefault="00614991" w:rsidP="00614991">
      <w:pPr>
        <w:pStyle w:val="Bibliography"/>
        <w:rPr>
          <w:rFonts w:cs="Times"/>
          <w:sz w:val="20"/>
          <w:lang w:val="en-US"/>
        </w:rPr>
      </w:pPr>
      <w:r w:rsidRPr="00614991">
        <w:rPr>
          <w:rFonts w:cs="Times"/>
          <w:sz w:val="20"/>
          <w:lang w:val="en-US"/>
        </w:rPr>
        <w:t xml:space="preserve">Howard, A., &amp; Borenstein, J. (2018). The Ugly Truth About Ourselves and Our Robot Creations: The Problem of Bias and Social Inequity. </w:t>
      </w:r>
      <w:r w:rsidRPr="00614991">
        <w:rPr>
          <w:rFonts w:cs="Times"/>
          <w:i/>
          <w:iCs/>
          <w:sz w:val="20"/>
          <w:lang w:val="en-US"/>
        </w:rPr>
        <w:t>Science and Engineering Ethics</w:t>
      </w:r>
      <w:r w:rsidRPr="00614991">
        <w:rPr>
          <w:rFonts w:cs="Times"/>
          <w:sz w:val="20"/>
          <w:lang w:val="en-US"/>
        </w:rPr>
        <w:t xml:space="preserve">, </w:t>
      </w:r>
      <w:r w:rsidRPr="00614991">
        <w:rPr>
          <w:rFonts w:cs="Times"/>
          <w:i/>
          <w:iCs/>
          <w:sz w:val="20"/>
          <w:lang w:val="en-US"/>
        </w:rPr>
        <w:t>24</w:t>
      </w:r>
      <w:r w:rsidRPr="00614991">
        <w:rPr>
          <w:rFonts w:cs="Times"/>
          <w:sz w:val="20"/>
          <w:lang w:val="en-US"/>
        </w:rPr>
        <w:t>(5), 1521–1536. https://doi.org/10.1007/s11948-017-9975-2</w:t>
      </w:r>
    </w:p>
    <w:p w14:paraId="47D1812A" w14:textId="77777777" w:rsidR="00614991" w:rsidRPr="00614991" w:rsidRDefault="00614991" w:rsidP="00614991">
      <w:pPr>
        <w:pStyle w:val="Bibliography"/>
        <w:rPr>
          <w:rFonts w:cs="Times"/>
          <w:sz w:val="20"/>
        </w:rPr>
      </w:pPr>
      <w:r w:rsidRPr="00614991">
        <w:rPr>
          <w:rFonts w:cs="Times"/>
          <w:sz w:val="20"/>
          <w:lang w:val="en-US"/>
        </w:rPr>
        <w:t xml:space="preserve">Martinet, B., Lebis, A., &amp; Vermeulen, M. (2022, January). </w:t>
      </w:r>
      <w:r w:rsidRPr="00614991">
        <w:rPr>
          <w:rFonts w:cs="Times"/>
          <w:sz w:val="20"/>
        </w:rPr>
        <w:t xml:space="preserve">Vers un outil d’accompagnement pour l’hybridation de situations pédagogiques. </w:t>
      </w:r>
      <w:r w:rsidRPr="00614991">
        <w:rPr>
          <w:rFonts w:cs="Times"/>
          <w:i/>
          <w:iCs/>
          <w:sz w:val="20"/>
        </w:rPr>
        <w:t>Questions de Pédagogie Dans l’Enseignement Supérieur</w:t>
      </w:r>
      <w:r w:rsidRPr="00614991">
        <w:rPr>
          <w:rFonts w:cs="Times"/>
          <w:sz w:val="20"/>
        </w:rPr>
        <w:t>. https://hal.archives-ouvertes.fr/hal-03583964</w:t>
      </w:r>
    </w:p>
    <w:p w14:paraId="4B550265" w14:textId="77777777" w:rsidR="00614991" w:rsidRPr="00614991" w:rsidRDefault="00614991" w:rsidP="00614991">
      <w:pPr>
        <w:pStyle w:val="Bibliography"/>
        <w:rPr>
          <w:rFonts w:cs="Times"/>
          <w:sz w:val="20"/>
          <w:lang w:val="en-US"/>
        </w:rPr>
      </w:pPr>
      <w:r w:rsidRPr="00614991">
        <w:rPr>
          <w:rFonts w:cs="Times"/>
          <w:sz w:val="20"/>
          <w:lang w:val="en-US"/>
        </w:rPr>
        <w:t xml:space="preserve">Örtegren, A. (2022). Digital Citizenship and Professional Digital Competence—Swedish Subject Teacher Education in a Postdigital Era. </w:t>
      </w:r>
      <w:r w:rsidRPr="00614991">
        <w:rPr>
          <w:rFonts w:cs="Times"/>
          <w:i/>
          <w:iCs/>
          <w:sz w:val="20"/>
          <w:lang w:val="en-US"/>
        </w:rPr>
        <w:t>Postdigital Science and Education</w:t>
      </w:r>
      <w:r w:rsidRPr="00614991">
        <w:rPr>
          <w:rFonts w:cs="Times"/>
          <w:sz w:val="20"/>
          <w:lang w:val="en-US"/>
        </w:rPr>
        <w:t xml:space="preserve">, </w:t>
      </w:r>
      <w:r w:rsidRPr="00614991">
        <w:rPr>
          <w:rFonts w:cs="Times"/>
          <w:i/>
          <w:iCs/>
          <w:sz w:val="20"/>
          <w:lang w:val="en-US"/>
        </w:rPr>
        <w:t>4</w:t>
      </w:r>
      <w:r w:rsidRPr="00614991">
        <w:rPr>
          <w:rFonts w:cs="Times"/>
          <w:sz w:val="20"/>
          <w:lang w:val="en-US"/>
        </w:rPr>
        <w:t>(2), 467–493. https://doi.org/10.1007/s42438-022-00291-7</w:t>
      </w:r>
    </w:p>
    <w:p w14:paraId="1749CA3D" w14:textId="77777777" w:rsidR="00614991" w:rsidRPr="00614991" w:rsidRDefault="00614991" w:rsidP="00614991">
      <w:pPr>
        <w:pStyle w:val="Bibliography"/>
        <w:rPr>
          <w:rFonts w:cs="Times"/>
          <w:sz w:val="20"/>
          <w:lang w:val="en-US"/>
        </w:rPr>
      </w:pPr>
      <w:r w:rsidRPr="00614991">
        <w:rPr>
          <w:rFonts w:cs="Times"/>
          <w:sz w:val="20"/>
          <w:lang w:val="en-US"/>
        </w:rPr>
        <w:t xml:space="preserve">Pardo, A., &amp; Siemens, G. (2014). Ethical and privacy principles for learning analytics. </w:t>
      </w:r>
      <w:r w:rsidRPr="00614991">
        <w:rPr>
          <w:rFonts w:cs="Times"/>
          <w:i/>
          <w:iCs/>
          <w:sz w:val="20"/>
          <w:lang w:val="en-US"/>
        </w:rPr>
        <w:t>British Journal of Educational Technology</w:t>
      </w:r>
      <w:r w:rsidRPr="00614991">
        <w:rPr>
          <w:rFonts w:cs="Times"/>
          <w:sz w:val="20"/>
          <w:lang w:val="en-US"/>
        </w:rPr>
        <w:t xml:space="preserve">, </w:t>
      </w:r>
      <w:r w:rsidRPr="00614991">
        <w:rPr>
          <w:rFonts w:cs="Times"/>
          <w:i/>
          <w:iCs/>
          <w:sz w:val="20"/>
          <w:lang w:val="en-US"/>
        </w:rPr>
        <w:t>45</w:t>
      </w:r>
      <w:r w:rsidRPr="00614991">
        <w:rPr>
          <w:rFonts w:cs="Times"/>
          <w:sz w:val="20"/>
          <w:lang w:val="en-US"/>
        </w:rPr>
        <w:t>(3), 438–450. https://doi.org/10.1111/bjet.12152</w:t>
      </w:r>
    </w:p>
    <w:p w14:paraId="04E04F12" w14:textId="77777777" w:rsidR="00614991" w:rsidRPr="00614991" w:rsidRDefault="00614991" w:rsidP="00614991">
      <w:pPr>
        <w:pStyle w:val="Bibliography"/>
        <w:rPr>
          <w:rFonts w:cs="Times"/>
          <w:sz w:val="20"/>
          <w:lang w:val="en-US"/>
        </w:rPr>
      </w:pPr>
      <w:r w:rsidRPr="00614991">
        <w:rPr>
          <w:rFonts w:cs="Times"/>
          <w:sz w:val="20"/>
          <w:lang w:val="en-US"/>
        </w:rPr>
        <w:t xml:space="preserve">Pinto-Santos, A. R., Garcias, A. P., &amp; Garcias, A. P. (2022). Development of teaching digital competence in initial teacher training: A systematic review. </w:t>
      </w:r>
      <w:r w:rsidRPr="00614991">
        <w:rPr>
          <w:rFonts w:cs="Times"/>
          <w:i/>
          <w:iCs/>
          <w:sz w:val="20"/>
          <w:lang w:val="en-US"/>
        </w:rPr>
        <w:t>World Journal on Educational Technology: Current Issues</w:t>
      </w:r>
      <w:r w:rsidRPr="00614991">
        <w:rPr>
          <w:rFonts w:cs="Times"/>
          <w:sz w:val="20"/>
          <w:lang w:val="en-US"/>
        </w:rPr>
        <w:t xml:space="preserve">, </w:t>
      </w:r>
      <w:r w:rsidRPr="00614991">
        <w:rPr>
          <w:rFonts w:cs="Times"/>
          <w:i/>
          <w:iCs/>
          <w:sz w:val="20"/>
          <w:lang w:val="en-US"/>
        </w:rPr>
        <w:t>14</w:t>
      </w:r>
      <w:r w:rsidRPr="00614991">
        <w:rPr>
          <w:rFonts w:cs="Times"/>
          <w:sz w:val="20"/>
          <w:lang w:val="en-US"/>
        </w:rPr>
        <w:t>(1), Article 1. https://doi.org/10.18844/wjet.v14i1.6250</w:t>
      </w:r>
    </w:p>
    <w:p w14:paraId="2C460EE7" w14:textId="77777777" w:rsidR="00614991" w:rsidRPr="00614991" w:rsidRDefault="00614991" w:rsidP="00614991">
      <w:pPr>
        <w:pStyle w:val="Bibliography"/>
        <w:rPr>
          <w:rFonts w:cs="Times"/>
          <w:sz w:val="20"/>
          <w:lang w:val="en-US"/>
        </w:rPr>
      </w:pPr>
      <w:r w:rsidRPr="00614991">
        <w:rPr>
          <w:rFonts w:cs="Times"/>
          <w:sz w:val="20"/>
          <w:lang w:val="en-US"/>
        </w:rPr>
        <w:t xml:space="preserve">Stoyanovich, J., Abiteboul, S., &amp; Miklau, G. (2016, March 15). </w:t>
      </w:r>
      <w:r w:rsidRPr="00614991">
        <w:rPr>
          <w:rFonts w:cs="Times"/>
          <w:i/>
          <w:iCs/>
          <w:sz w:val="20"/>
          <w:lang w:val="en-US"/>
        </w:rPr>
        <w:t>Data, Responsibly: Fairness, Neutrality and Transparency in Data Analysis</w:t>
      </w:r>
      <w:r w:rsidRPr="00614991">
        <w:rPr>
          <w:rFonts w:cs="Times"/>
          <w:sz w:val="20"/>
          <w:lang w:val="en-US"/>
        </w:rPr>
        <w:t>. International Conference on Extending Database Technology. https://hal.inria.fr/hal-01290695</w:t>
      </w:r>
    </w:p>
    <w:p w14:paraId="16B67196" w14:textId="77777777" w:rsidR="00614991" w:rsidRPr="00614991" w:rsidRDefault="00614991" w:rsidP="00614991">
      <w:pPr>
        <w:pStyle w:val="Bibliography"/>
        <w:rPr>
          <w:rFonts w:cs="Times"/>
          <w:sz w:val="20"/>
          <w:lang w:val="en-US"/>
        </w:rPr>
      </w:pPr>
      <w:r w:rsidRPr="00614991">
        <w:rPr>
          <w:rFonts w:cs="Times"/>
          <w:sz w:val="20"/>
          <w:lang w:val="en-US"/>
        </w:rPr>
        <w:t xml:space="preserve">Tondeur, J., Aesaert, K., Prestridge, S., &amp; Consuegra, E. (2018). A multilevel analysis of what matters in the training of pre-service teacher’s ICT competencies. </w:t>
      </w:r>
      <w:r w:rsidRPr="00614991">
        <w:rPr>
          <w:rFonts w:cs="Times"/>
          <w:i/>
          <w:iCs/>
          <w:sz w:val="20"/>
          <w:lang w:val="en-US"/>
        </w:rPr>
        <w:t>Computers &amp; Education</w:t>
      </w:r>
      <w:r w:rsidRPr="00614991">
        <w:rPr>
          <w:rFonts w:cs="Times"/>
          <w:sz w:val="20"/>
          <w:lang w:val="en-US"/>
        </w:rPr>
        <w:t xml:space="preserve">, </w:t>
      </w:r>
      <w:r w:rsidRPr="00614991">
        <w:rPr>
          <w:rFonts w:cs="Times"/>
          <w:i/>
          <w:iCs/>
          <w:sz w:val="20"/>
          <w:lang w:val="en-US"/>
        </w:rPr>
        <w:t>122</w:t>
      </w:r>
      <w:r w:rsidRPr="00614991">
        <w:rPr>
          <w:rFonts w:cs="Times"/>
          <w:sz w:val="20"/>
          <w:lang w:val="en-US"/>
        </w:rPr>
        <w:t>, 32–42. https://doi.org/10.1016/j.compedu.2018.03.002</w:t>
      </w:r>
    </w:p>
    <w:p w14:paraId="70304DC6" w14:textId="77777777" w:rsidR="00614991" w:rsidRPr="00614991" w:rsidRDefault="00614991" w:rsidP="00614991">
      <w:pPr>
        <w:pStyle w:val="Bibliography"/>
        <w:rPr>
          <w:rFonts w:cs="Times"/>
          <w:sz w:val="20"/>
          <w:lang w:val="en-US"/>
        </w:rPr>
      </w:pPr>
      <w:r w:rsidRPr="00614991">
        <w:rPr>
          <w:rFonts w:cs="Times"/>
          <w:sz w:val="20"/>
          <w:lang w:val="en-US"/>
        </w:rPr>
        <w:t xml:space="preserve">Tranquillo, J., Kline, W., &amp; Hixson, C. (2016). Making Sense of Canvas Tools: Analysis and Comparison of Popular Canvases. </w:t>
      </w:r>
      <w:r w:rsidRPr="00614991">
        <w:rPr>
          <w:rFonts w:cs="Times"/>
          <w:i/>
          <w:iCs/>
          <w:sz w:val="20"/>
          <w:lang w:val="en-US"/>
        </w:rPr>
        <w:t>Henry M. Rowan College of Engineering Faculty Scholarship</w:t>
      </w:r>
      <w:r w:rsidRPr="00614991">
        <w:rPr>
          <w:rFonts w:cs="Times"/>
          <w:sz w:val="20"/>
          <w:lang w:val="en-US"/>
        </w:rPr>
        <w:t>. https://doi.org/10.18260/p.26211</w:t>
      </w:r>
    </w:p>
    <w:p w14:paraId="08248D4F" w14:textId="77777777" w:rsidR="00614991" w:rsidRPr="00614991" w:rsidRDefault="00614991" w:rsidP="00614991">
      <w:pPr>
        <w:pStyle w:val="Bibliography"/>
        <w:rPr>
          <w:rFonts w:cs="Times"/>
          <w:sz w:val="20"/>
          <w:lang w:val="en-US"/>
        </w:rPr>
      </w:pPr>
      <w:r w:rsidRPr="00614991">
        <w:rPr>
          <w:rFonts w:cs="Times"/>
          <w:sz w:val="20"/>
        </w:rPr>
        <w:lastRenderedPageBreak/>
        <w:t xml:space="preserve">Vlasceanu, M., &amp; Amodio, D. M. (2022). </w:t>
      </w:r>
      <w:r w:rsidRPr="00614991">
        <w:rPr>
          <w:rFonts w:cs="Times"/>
          <w:sz w:val="20"/>
          <w:lang w:val="en-US"/>
        </w:rPr>
        <w:t xml:space="preserve">Propagation of societal gender inequality by internet search algorithms. </w:t>
      </w:r>
      <w:r w:rsidRPr="00614991">
        <w:rPr>
          <w:rFonts w:cs="Times"/>
          <w:i/>
          <w:iCs/>
          <w:sz w:val="20"/>
          <w:lang w:val="en-US"/>
        </w:rPr>
        <w:t>Proceedings of the National Academy of Sciences</w:t>
      </w:r>
      <w:r w:rsidRPr="00614991">
        <w:rPr>
          <w:rFonts w:cs="Times"/>
          <w:sz w:val="20"/>
          <w:lang w:val="en-US"/>
        </w:rPr>
        <w:t xml:space="preserve">, </w:t>
      </w:r>
      <w:r w:rsidRPr="00614991">
        <w:rPr>
          <w:rFonts w:cs="Times"/>
          <w:i/>
          <w:iCs/>
          <w:sz w:val="20"/>
          <w:lang w:val="en-US"/>
        </w:rPr>
        <w:t>119</w:t>
      </w:r>
      <w:r w:rsidRPr="00614991">
        <w:rPr>
          <w:rFonts w:cs="Times"/>
          <w:sz w:val="20"/>
          <w:lang w:val="en-US"/>
        </w:rPr>
        <w:t>(29), e2204529119. https://doi.org/10.1073/pnas.2204529119</w:t>
      </w:r>
    </w:p>
    <w:p w14:paraId="7D4DC438" w14:textId="77777777" w:rsidR="00614991" w:rsidRPr="00614991" w:rsidRDefault="00614991" w:rsidP="00614991">
      <w:pPr>
        <w:pStyle w:val="Bibliography"/>
        <w:rPr>
          <w:rFonts w:cs="Times"/>
          <w:sz w:val="20"/>
          <w:lang w:val="en-US"/>
        </w:rPr>
      </w:pPr>
      <w:r w:rsidRPr="00614991">
        <w:rPr>
          <w:rFonts w:cs="Times"/>
          <w:sz w:val="20"/>
          <w:lang w:val="en-US"/>
        </w:rPr>
        <w:t xml:space="preserve">Williamson, K., &amp; Kizilcec, R. F. (2022). </w:t>
      </w:r>
      <w:r w:rsidRPr="00614991">
        <w:rPr>
          <w:rFonts w:cs="Times"/>
          <w:i/>
          <w:iCs/>
          <w:sz w:val="20"/>
          <w:lang w:val="en-US"/>
        </w:rPr>
        <w:t>A Review of Learning Analytics Dashboard Research in Higher Education: Implications for Justice, Equity, Diversity, and Inclusion</w:t>
      </w:r>
      <w:r w:rsidRPr="00614991">
        <w:rPr>
          <w:rFonts w:cs="Times"/>
          <w:sz w:val="20"/>
          <w:lang w:val="en-US"/>
        </w:rPr>
        <w:t>. 11.</w:t>
      </w:r>
    </w:p>
    <w:p w14:paraId="2B6DA536" w14:textId="77777777" w:rsidR="00614991" w:rsidRPr="00614991" w:rsidRDefault="00614991" w:rsidP="00614991">
      <w:pPr>
        <w:pStyle w:val="Bibliography"/>
        <w:rPr>
          <w:rFonts w:cs="Times"/>
          <w:sz w:val="20"/>
          <w:lang w:val="en-US"/>
        </w:rPr>
      </w:pPr>
      <w:r w:rsidRPr="00614991">
        <w:rPr>
          <w:rFonts w:cs="Times"/>
          <w:sz w:val="20"/>
          <w:lang w:val="en-US"/>
        </w:rPr>
        <w:t xml:space="preserve">Wilson, A., Watson, C., Thompson, T. L., Drew, V., &amp; Doyle, S. (2017). Learning analytics: Challenges and limitations. </w:t>
      </w:r>
      <w:r w:rsidRPr="00614991">
        <w:rPr>
          <w:rFonts w:cs="Times"/>
          <w:i/>
          <w:iCs/>
          <w:sz w:val="20"/>
          <w:lang w:val="en-US"/>
        </w:rPr>
        <w:t>Teaching in Higher Education</w:t>
      </w:r>
      <w:r w:rsidRPr="00614991">
        <w:rPr>
          <w:rFonts w:cs="Times"/>
          <w:sz w:val="20"/>
          <w:lang w:val="en-US"/>
        </w:rPr>
        <w:t xml:space="preserve">, </w:t>
      </w:r>
      <w:r w:rsidRPr="00614991">
        <w:rPr>
          <w:rFonts w:cs="Times"/>
          <w:i/>
          <w:iCs/>
          <w:sz w:val="20"/>
          <w:lang w:val="en-US"/>
        </w:rPr>
        <w:t>22</w:t>
      </w:r>
      <w:r w:rsidRPr="00614991">
        <w:rPr>
          <w:rFonts w:cs="Times"/>
          <w:sz w:val="20"/>
          <w:lang w:val="en-US"/>
        </w:rPr>
        <w:t>(8), 991–1007. https://doi.org/10.1080/13562517.2017.1332026</w:t>
      </w:r>
    </w:p>
    <w:p w14:paraId="7A80C7EA" w14:textId="31709652" w:rsidR="00073AFA" w:rsidRPr="00CB6746" w:rsidRDefault="001A640C" w:rsidP="00073AFA">
      <w:pPr>
        <w:spacing w:before="0" w:line="240" w:lineRule="auto"/>
        <w:jc w:val="left"/>
        <w:rPr>
          <w:sz w:val="20"/>
        </w:rPr>
      </w:pPr>
      <w:r>
        <w:rPr>
          <w:sz w:val="20"/>
        </w:rPr>
        <w:fldChar w:fldCharType="end"/>
      </w:r>
    </w:p>
    <w:sectPr w:rsidR="00073AFA" w:rsidRPr="00CB6746" w:rsidSect="00232151">
      <w:headerReference w:type="default" r:id="rId10"/>
      <w:footerReference w:type="default" r:id="rId11"/>
      <w:pgSz w:w="11906" w:h="16838"/>
      <w:pgMar w:top="1418" w:right="1418" w:bottom="1418" w:left="1418"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7BE56" w14:textId="77777777" w:rsidR="00546FCA" w:rsidRDefault="00546FCA">
      <w:r>
        <w:separator/>
      </w:r>
    </w:p>
  </w:endnote>
  <w:endnote w:type="continuationSeparator" w:id="0">
    <w:p w14:paraId="0E9A31ED" w14:textId="77777777" w:rsidR="00546FCA" w:rsidRDefault="0054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7200C" w14:textId="033755C9" w:rsidR="00C560DB" w:rsidRDefault="00C560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20B1">
      <w:rPr>
        <w:rStyle w:val="PageNumber"/>
        <w:noProof/>
      </w:rPr>
      <w:t>5</w:t>
    </w:r>
    <w:r>
      <w:rPr>
        <w:rStyle w:val="PageNumber"/>
      </w:rPr>
      <w:fldChar w:fldCharType="end"/>
    </w:r>
  </w:p>
  <w:p w14:paraId="59C54227" w14:textId="77777777" w:rsidR="00C560DB" w:rsidRDefault="00C56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110EC" w14:textId="77777777" w:rsidR="00546FCA" w:rsidRDefault="00546FCA">
      <w:r>
        <w:separator/>
      </w:r>
    </w:p>
  </w:footnote>
  <w:footnote w:type="continuationSeparator" w:id="0">
    <w:p w14:paraId="13EB60F9" w14:textId="77777777" w:rsidR="00546FCA" w:rsidRDefault="0054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5126" w14:textId="0B1BA146" w:rsidR="00232151" w:rsidRPr="00073AFA" w:rsidRDefault="002831D5" w:rsidP="00073AFA">
    <w:pPr>
      <w:pStyle w:val="Header"/>
      <w:jc w:val="right"/>
    </w:pPr>
    <w:r>
      <w:t>Conception éthique</w:t>
    </w:r>
  </w:p>
  <w:p w14:paraId="663AD24F" w14:textId="77777777" w:rsidR="00232151" w:rsidRDefault="00232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6A49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5040C"/>
    <w:lvl w:ilvl="0">
      <w:start w:val="1"/>
      <w:numFmt w:val="bullet"/>
      <w:pStyle w:val="List0"/>
      <w:lvlText w:val=""/>
      <w:lvlJc w:val="left"/>
      <w:pPr>
        <w:tabs>
          <w:tab w:val="num" w:pos="360"/>
        </w:tabs>
        <w:ind w:left="360" w:hanging="360"/>
      </w:pPr>
      <w:rPr>
        <w:rFonts w:ascii="Wingdings" w:hAnsi="Wingdings" w:hint="default"/>
      </w:rPr>
    </w:lvl>
  </w:abstractNum>
  <w:abstractNum w:abstractNumId="2" w15:restartNumberingAfterBreak="0">
    <w:nsid w:val="00000002"/>
    <w:multiLevelType w:val="singleLevel"/>
    <w:tmpl w:val="0005040C"/>
    <w:lvl w:ilvl="0">
      <w:start w:val="1"/>
      <w:numFmt w:val="bullet"/>
      <w:pStyle w:val="List1"/>
      <w:lvlText w:val=""/>
      <w:lvlJc w:val="left"/>
      <w:pPr>
        <w:tabs>
          <w:tab w:val="num" w:pos="360"/>
        </w:tabs>
        <w:ind w:left="360" w:hanging="360"/>
      </w:pPr>
      <w:rPr>
        <w:rFonts w:ascii="Wingdings" w:hAnsi="Wingdings" w:hint="default"/>
      </w:rPr>
    </w:lvl>
  </w:abstractNum>
  <w:abstractNum w:abstractNumId="3" w15:restartNumberingAfterBreak="0">
    <w:nsid w:val="00000003"/>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0000004"/>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5"/>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0000006"/>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0000007"/>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0000008"/>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0000009"/>
    <w:multiLevelType w:val="multilevel"/>
    <w:tmpl w:val="894EE87B"/>
    <w:lvl w:ilvl="0">
      <w:start w:val="1"/>
      <w:numFmt w:val="bullet"/>
      <w:suff w:val="nothing"/>
      <w:lvlText w:val=""/>
      <w:lvlJc w:val="left"/>
      <w:pPr>
        <w:ind w:left="0" w:firstLine="0"/>
      </w:pPr>
      <w:rPr>
        <w:rFonts w:hint="default"/>
        <w:position w:val="0"/>
      </w:rPr>
    </w:lvl>
    <w:lvl w:ilvl="1">
      <w:start w:val="1"/>
      <w:numFmt w:val="bullet"/>
      <w:lvlText w:val=""/>
      <w:lvlJc w:val="left"/>
      <w:pPr>
        <w:tabs>
          <w:tab w:val="num" w:pos="576"/>
        </w:tabs>
        <w:ind w:left="576" w:firstLine="0"/>
      </w:pPr>
      <w:rPr>
        <w:rFonts w:hint="default"/>
        <w:position w:val="0"/>
      </w:rPr>
    </w:lvl>
    <w:lvl w:ilvl="2">
      <w:start w:val="1"/>
      <w:numFmt w:val="bullet"/>
      <w:lvlText w:val=""/>
      <w:lvlJc w:val="left"/>
      <w:pPr>
        <w:tabs>
          <w:tab w:val="num" w:pos="720"/>
        </w:tabs>
        <w:ind w:left="720" w:firstLine="0"/>
      </w:pPr>
      <w:rPr>
        <w:rFonts w:hint="default"/>
        <w:position w:val="0"/>
      </w:rPr>
    </w:lvl>
    <w:lvl w:ilvl="3">
      <w:start w:val="1"/>
      <w:numFmt w:val="bullet"/>
      <w:lvlText w:val=""/>
      <w:lvlJc w:val="left"/>
      <w:pPr>
        <w:tabs>
          <w:tab w:val="num" w:pos="864"/>
        </w:tabs>
        <w:ind w:left="864" w:firstLine="0"/>
      </w:pPr>
      <w:rPr>
        <w:rFonts w:hint="default"/>
        <w:position w:val="0"/>
      </w:rPr>
    </w:lvl>
    <w:lvl w:ilvl="4">
      <w:start w:val="1"/>
      <w:numFmt w:val="bullet"/>
      <w:lvlText w:val=""/>
      <w:lvlJc w:val="left"/>
      <w:pPr>
        <w:tabs>
          <w:tab w:val="num" w:pos="1008"/>
        </w:tabs>
        <w:ind w:left="1008" w:firstLine="0"/>
      </w:pPr>
      <w:rPr>
        <w:rFonts w:hint="default"/>
        <w:position w:val="0"/>
      </w:rPr>
    </w:lvl>
    <w:lvl w:ilvl="5">
      <w:start w:val="1"/>
      <w:numFmt w:val="bullet"/>
      <w:lvlText w:val=""/>
      <w:lvlJc w:val="left"/>
      <w:pPr>
        <w:tabs>
          <w:tab w:val="num" w:pos="1152"/>
        </w:tabs>
        <w:ind w:left="1152" w:firstLine="0"/>
      </w:pPr>
      <w:rPr>
        <w:rFonts w:hint="default"/>
        <w:position w:val="0"/>
      </w:rPr>
    </w:lvl>
    <w:lvl w:ilvl="6">
      <w:start w:val="1"/>
      <w:numFmt w:val="bullet"/>
      <w:lvlText w:val=""/>
      <w:lvlJc w:val="left"/>
      <w:pPr>
        <w:tabs>
          <w:tab w:val="num" w:pos="1296"/>
        </w:tabs>
        <w:ind w:left="1296" w:firstLine="0"/>
      </w:pPr>
      <w:rPr>
        <w:rFonts w:hint="default"/>
        <w:position w:val="0"/>
      </w:rPr>
    </w:lvl>
    <w:lvl w:ilvl="7">
      <w:start w:val="1"/>
      <w:numFmt w:val="bullet"/>
      <w:lvlText w:val=""/>
      <w:lvlJc w:val="left"/>
      <w:pPr>
        <w:tabs>
          <w:tab w:val="num" w:pos="1440"/>
        </w:tabs>
        <w:ind w:left="1440" w:firstLine="0"/>
      </w:pPr>
      <w:rPr>
        <w:rFonts w:hint="default"/>
        <w:position w:val="0"/>
      </w:rPr>
    </w:lvl>
    <w:lvl w:ilvl="8">
      <w:start w:val="1"/>
      <w:numFmt w:val="bullet"/>
      <w:lvlText w:val=""/>
      <w:lvlJc w:val="left"/>
      <w:pPr>
        <w:tabs>
          <w:tab w:val="num" w:pos="1584"/>
        </w:tabs>
        <w:ind w:left="1584" w:firstLine="0"/>
      </w:pPr>
      <w:rPr>
        <w:rFonts w:hint="default"/>
        <w:position w:val="0"/>
      </w:rPr>
    </w:lvl>
  </w:abstractNum>
  <w:abstractNum w:abstractNumId="10" w15:restartNumberingAfterBreak="0">
    <w:nsid w:val="0000000A"/>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000000B"/>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000000D"/>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04487CF2"/>
    <w:multiLevelType w:val="hybridMultilevel"/>
    <w:tmpl w:val="5FFEF9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2F91552"/>
    <w:multiLevelType w:val="hybridMultilevel"/>
    <w:tmpl w:val="5BD091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117189"/>
    <w:multiLevelType w:val="hybridMultilevel"/>
    <w:tmpl w:val="B0D8D3A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5601A2C"/>
    <w:multiLevelType w:val="multilevel"/>
    <w:tmpl w:val="19D095A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pStyle w:val="Heading4"/>
      <w:lvlText w:val="%1.%2.%3.%4."/>
      <w:lvlJc w:val="left"/>
      <w:pPr>
        <w:ind w:left="357" w:hanging="357"/>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6C2D68"/>
    <w:multiLevelType w:val="hybridMultilevel"/>
    <w:tmpl w:val="CD6AD364"/>
    <w:lvl w:ilvl="0" w:tplc="1444E15A">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8" w15:restartNumberingAfterBreak="0">
    <w:nsid w:val="44216D29"/>
    <w:multiLevelType w:val="hybridMultilevel"/>
    <w:tmpl w:val="1D56D852"/>
    <w:lvl w:ilvl="0" w:tplc="04100005">
      <w:start w:val="1"/>
      <w:numFmt w:val="bullet"/>
      <w:lvlText w:val=""/>
      <w:lvlJc w:val="left"/>
      <w:pPr>
        <w:ind w:left="777"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C63338E"/>
    <w:multiLevelType w:val="hybridMultilevel"/>
    <w:tmpl w:val="88105B8C"/>
    <w:lvl w:ilvl="0" w:tplc="A80084D8">
      <w:numFmt w:val="bullet"/>
      <w:lvlText w:val="-"/>
      <w:lvlJc w:val="left"/>
      <w:pPr>
        <w:ind w:left="720" w:hanging="360"/>
      </w:pPr>
      <w:rPr>
        <w:rFonts w:ascii="Times" w:eastAsia="Times"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F860F2"/>
    <w:multiLevelType w:val="hybridMultilevel"/>
    <w:tmpl w:val="67883E8C"/>
    <w:lvl w:ilvl="0" w:tplc="BA223F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8EB7B2B"/>
    <w:multiLevelType w:val="hybridMultilevel"/>
    <w:tmpl w:val="E6285038"/>
    <w:lvl w:ilvl="0" w:tplc="8C4A5D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0346EBE"/>
    <w:multiLevelType w:val="hybridMultilevel"/>
    <w:tmpl w:val="83C0CA82"/>
    <w:lvl w:ilvl="0" w:tplc="8222D218">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23" w15:restartNumberingAfterBreak="0">
    <w:nsid w:val="63481265"/>
    <w:multiLevelType w:val="hybridMultilevel"/>
    <w:tmpl w:val="AAFAEAB0"/>
    <w:lvl w:ilvl="0" w:tplc="26F87F1C">
      <w:start w:val="1"/>
      <w:numFmt w:val="decimal"/>
      <w:pStyle w:val="Listenumrote"/>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FB459C"/>
    <w:multiLevelType w:val="hybridMultilevel"/>
    <w:tmpl w:val="56148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7A3568"/>
    <w:multiLevelType w:val="hybridMultilevel"/>
    <w:tmpl w:val="33E2CCF6"/>
    <w:lvl w:ilvl="0" w:tplc="41BEABF0">
      <w:start w:val="95"/>
      <w:numFmt w:val="bullet"/>
      <w:lvlText w:val="-"/>
      <w:lvlJc w:val="left"/>
      <w:pPr>
        <w:ind w:left="1428" w:hanging="360"/>
      </w:pPr>
      <w:rPr>
        <w:rFonts w:ascii="Cambria" w:eastAsia="Cambria" w:hAnsi="Cambria" w:cs="Times New Roman"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78E83D5C"/>
    <w:multiLevelType w:val="hybridMultilevel"/>
    <w:tmpl w:val="43C6616E"/>
    <w:lvl w:ilvl="0" w:tplc="8C4A5D12">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79685F37"/>
    <w:multiLevelType w:val="hybridMultilevel"/>
    <w:tmpl w:val="9A4CBF42"/>
    <w:lvl w:ilvl="0" w:tplc="FD786FA8">
      <w:start w:val="1"/>
      <w:numFmt w:val="bullet"/>
      <w:pStyle w:val="ListParagraph"/>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A34075"/>
    <w:multiLevelType w:val="hybridMultilevel"/>
    <w:tmpl w:val="2E08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D3648"/>
    <w:multiLevelType w:val="hybridMultilevel"/>
    <w:tmpl w:val="397811E2"/>
    <w:lvl w:ilvl="0" w:tplc="8222D218">
      <w:numFmt w:val="bullet"/>
      <w:lvlText w:val="-"/>
      <w:lvlJc w:val="left"/>
      <w:pPr>
        <w:ind w:left="1125"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1"/>
  </w:num>
  <w:num w:numId="2">
    <w:abstractNumId w:val="7"/>
  </w:num>
  <w:num w:numId="3">
    <w:abstractNumId w:val="8"/>
  </w:num>
  <w:num w:numId="4">
    <w:abstractNumId w:val="10"/>
  </w:num>
  <w:num w:numId="5">
    <w:abstractNumId w:val="11"/>
  </w:num>
  <w:num w:numId="6">
    <w:abstractNumId w:val="12"/>
  </w:num>
  <w:num w:numId="7">
    <w:abstractNumId w:val="2"/>
  </w:num>
  <w:num w:numId="8">
    <w:abstractNumId w:val="2"/>
  </w:num>
  <w:num w:numId="9">
    <w:abstractNumId w:val="1"/>
  </w:num>
  <w:num w:numId="10">
    <w:abstractNumId w:val="4"/>
  </w:num>
  <w:num w:numId="11">
    <w:abstractNumId w:val="1"/>
  </w:num>
  <w:num w:numId="12">
    <w:abstractNumId w:val="2"/>
  </w:num>
  <w:num w:numId="13">
    <w:abstractNumId w:val="4"/>
  </w:num>
  <w:num w:numId="14">
    <w:abstractNumId w:val="5"/>
  </w:num>
  <w:num w:numId="15">
    <w:abstractNumId w:val="7"/>
  </w:num>
  <w:num w:numId="16">
    <w:abstractNumId w:val="5"/>
  </w:num>
  <w:num w:numId="17">
    <w:abstractNumId w:val="6"/>
  </w:num>
  <w:num w:numId="18">
    <w:abstractNumId w:val="1"/>
  </w:num>
  <w:num w:numId="19">
    <w:abstractNumId w:val="1"/>
  </w:num>
  <w:num w:numId="20">
    <w:abstractNumId w:val="1"/>
  </w:num>
  <w:num w:numId="21">
    <w:abstractNumId w:val="2"/>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2"/>
  </w:num>
  <w:num w:numId="31">
    <w:abstractNumId w:val="16"/>
  </w:num>
  <w:num w:numId="32">
    <w:abstractNumId w:val="0"/>
  </w:num>
  <w:num w:numId="33">
    <w:abstractNumId w:val="9"/>
  </w:num>
  <w:num w:numId="34">
    <w:abstractNumId w:val="25"/>
  </w:num>
  <w:num w:numId="35">
    <w:abstractNumId w:val="13"/>
  </w:num>
  <w:num w:numId="36">
    <w:abstractNumId w:val="21"/>
  </w:num>
  <w:num w:numId="37">
    <w:abstractNumId w:val="15"/>
  </w:num>
  <w:num w:numId="38">
    <w:abstractNumId w:val="26"/>
  </w:num>
  <w:num w:numId="39">
    <w:abstractNumId w:val="22"/>
  </w:num>
  <w:num w:numId="40">
    <w:abstractNumId w:val="29"/>
  </w:num>
  <w:num w:numId="41">
    <w:abstractNumId w:val="18"/>
  </w:num>
  <w:num w:numId="42">
    <w:abstractNumId w:val="14"/>
  </w:num>
  <w:num w:numId="43">
    <w:abstractNumId w:val="24"/>
  </w:num>
  <w:num w:numId="44">
    <w:abstractNumId w:val="27"/>
  </w:num>
  <w:num w:numId="45">
    <w:abstractNumId w:val="23"/>
  </w:num>
  <w:num w:numId="46">
    <w:abstractNumId w:val="20"/>
  </w:num>
  <w:num w:numId="47">
    <w:abstractNumId w:val="17"/>
  </w:num>
  <w:num w:numId="48">
    <w:abstractNumId w:val="19"/>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6C"/>
    <w:rsid w:val="00006253"/>
    <w:rsid w:val="00013572"/>
    <w:rsid w:val="00013F74"/>
    <w:rsid w:val="00027D16"/>
    <w:rsid w:val="00034B98"/>
    <w:rsid w:val="00036EC5"/>
    <w:rsid w:val="00060C19"/>
    <w:rsid w:val="0006403C"/>
    <w:rsid w:val="00070B64"/>
    <w:rsid w:val="00073AFA"/>
    <w:rsid w:val="000770CB"/>
    <w:rsid w:val="00082F7F"/>
    <w:rsid w:val="000901F7"/>
    <w:rsid w:val="00096FF6"/>
    <w:rsid w:val="000C2EFA"/>
    <w:rsid w:val="000C4499"/>
    <w:rsid w:val="000D1A3F"/>
    <w:rsid w:val="000D4E4A"/>
    <w:rsid w:val="000D51FC"/>
    <w:rsid w:val="000D532D"/>
    <w:rsid w:val="000D62C8"/>
    <w:rsid w:val="000E4319"/>
    <w:rsid w:val="000E5655"/>
    <w:rsid w:val="000E7D03"/>
    <w:rsid w:val="0010387B"/>
    <w:rsid w:val="0010555F"/>
    <w:rsid w:val="001076AD"/>
    <w:rsid w:val="00113364"/>
    <w:rsid w:val="00115E25"/>
    <w:rsid w:val="00116DBC"/>
    <w:rsid w:val="00117307"/>
    <w:rsid w:val="00121DC9"/>
    <w:rsid w:val="0012520B"/>
    <w:rsid w:val="00125E2C"/>
    <w:rsid w:val="0014138E"/>
    <w:rsid w:val="0015715D"/>
    <w:rsid w:val="00163EB0"/>
    <w:rsid w:val="00164A5C"/>
    <w:rsid w:val="001704DE"/>
    <w:rsid w:val="0017163F"/>
    <w:rsid w:val="00171B3A"/>
    <w:rsid w:val="00173433"/>
    <w:rsid w:val="0019296C"/>
    <w:rsid w:val="001976F6"/>
    <w:rsid w:val="001A0285"/>
    <w:rsid w:val="001A179A"/>
    <w:rsid w:val="001A39A4"/>
    <w:rsid w:val="001A5F6F"/>
    <w:rsid w:val="001A6385"/>
    <w:rsid w:val="001A640C"/>
    <w:rsid w:val="001B4873"/>
    <w:rsid w:val="001C115A"/>
    <w:rsid w:val="001C2435"/>
    <w:rsid w:val="001C2CC7"/>
    <w:rsid w:val="001C481F"/>
    <w:rsid w:val="001C55CF"/>
    <w:rsid w:val="001D0FCD"/>
    <w:rsid w:val="001E1BB0"/>
    <w:rsid w:val="001E2FA5"/>
    <w:rsid w:val="001F5BF9"/>
    <w:rsid w:val="002021F7"/>
    <w:rsid w:val="002031DC"/>
    <w:rsid w:val="00206E62"/>
    <w:rsid w:val="00210966"/>
    <w:rsid w:val="0021210B"/>
    <w:rsid w:val="00213C0E"/>
    <w:rsid w:val="002144E9"/>
    <w:rsid w:val="00215CA9"/>
    <w:rsid w:val="002162DE"/>
    <w:rsid w:val="00224707"/>
    <w:rsid w:val="00232151"/>
    <w:rsid w:val="00241B71"/>
    <w:rsid w:val="002422B5"/>
    <w:rsid w:val="00243A93"/>
    <w:rsid w:val="00243B22"/>
    <w:rsid w:val="00252F29"/>
    <w:rsid w:val="002579B8"/>
    <w:rsid w:val="00275BE0"/>
    <w:rsid w:val="002831D5"/>
    <w:rsid w:val="00284247"/>
    <w:rsid w:val="002A12EA"/>
    <w:rsid w:val="002A570C"/>
    <w:rsid w:val="002A7718"/>
    <w:rsid w:val="002B109D"/>
    <w:rsid w:val="002B5082"/>
    <w:rsid w:val="002B750C"/>
    <w:rsid w:val="002B7643"/>
    <w:rsid w:val="002C7275"/>
    <w:rsid w:val="002D25DC"/>
    <w:rsid w:val="002D2D7C"/>
    <w:rsid w:val="002D5D20"/>
    <w:rsid w:val="002D7BAB"/>
    <w:rsid w:val="002E12D0"/>
    <w:rsid w:val="002F5AC6"/>
    <w:rsid w:val="00304D82"/>
    <w:rsid w:val="00311B9F"/>
    <w:rsid w:val="00314197"/>
    <w:rsid w:val="0032584E"/>
    <w:rsid w:val="003272E1"/>
    <w:rsid w:val="00340C31"/>
    <w:rsid w:val="00343F10"/>
    <w:rsid w:val="003474C2"/>
    <w:rsid w:val="0035365D"/>
    <w:rsid w:val="00371364"/>
    <w:rsid w:val="00382265"/>
    <w:rsid w:val="00387A36"/>
    <w:rsid w:val="003A0935"/>
    <w:rsid w:val="003A16D5"/>
    <w:rsid w:val="003A4962"/>
    <w:rsid w:val="003B04BE"/>
    <w:rsid w:val="003B184E"/>
    <w:rsid w:val="003B7189"/>
    <w:rsid w:val="003C286A"/>
    <w:rsid w:val="003D50B1"/>
    <w:rsid w:val="003E047B"/>
    <w:rsid w:val="003E164E"/>
    <w:rsid w:val="003F3B7C"/>
    <w:rsid w:val="004171D9"/>
    <w:rsid w:val="00417740"/>
    <w:rsid w:val="00425982"/>
    <w:rsid w:val="00427F4E"/>
    <w:rsid w:val="00431B7A"/>
    <w:rsid w:val="004320BE"/>
    <w:rsid w:val="00445ADD"/>
    <w:rsid w:val="00446A9E"/>
    <w:rsid w:val="004520B1"/>
    <w:rsid w:val="00453762"/>
    <w:rsid w:val="00457C9A"/>
    <w:rsid w:val="00462E8C"/>
    <w:rsid w:val="00466021"/>
    <w:rsid w:val="00467320"/>
    <w:rsid w:val="004705A9"/>
    <w:rsid w:val="00476791"/>
    <w:rsid w:val="00476B3A"/>
    <w:rsid w:val="004774DC"/>
    <w:rsid w:val="00496EEF"/>
    <w:rsid w:val="004A66B2"/>
    <w:rsid w:val="004C7280"/>
    <w:rsid w:val="004C7C8E"/>
    <w:rsid w:val="004D03A8"/>
    <w:rsid w:val="004D233A"/>
    <w:rsid w:val="004D5655"/>
    <w:rsid w:val="004D5CBF"/>
    <w:rsid w:val="004E0849"/>
    <w:rsid w:val="004E1EDC"/>
    <w:rsid w:val="004E2FF8"/>
    <w:rsid w:val="004E5C3D"/>
    <w:rsid w:val="004F13E3"/>
    <w:rsid w:val="004F13F6"/>
    <w:rsid w:val="005015ED"/>
    <w:rsid w:val="00516712"/>
    <w:rsid w:val="00524CFA"/>
    <w:rsid w:val="00525CB0"/>
    <w:rsid w:val="00536108"/>
    <w:rsid w:val="00546FCA"/>
    <w:rsid w:val="00550815"/>
    <w:rsid w:val="0055436E"/>
    <w:rsid w:val="00570362"/>
    <w:rsid w:val="00571047"/>
    <w:rsid w:val="005721C8"/>
    <w:rsid w:val="00574120"/>
    <w:rsid w:val="00575FA5"/>
    <w:rsid w:val="00576A0A"/>
    <w:rsid w:val="00582588"/>
    <w:rsid w:val="00582A29"/>
    <w:rsid w:val="005836D6"/>
    <w:rsid w:val="00596EFD"/>
    <w:rsid w:val="005A2985"/>
    <w:rsid w:val="005A454A"/>
    <w:rsid w:val="005A5BC1"/>
    <w:rsid w:val="005A5F11"/>
    <w:rsid w:val="005A633B"/>
    <w:rsid w:val="005A6AD0"/>
    <w:rsid w:val="005C0A0E"/>
    <w:rsid w:val="005C5B14"/>
    <w:rsid w:val="005C6D87"/>
    <w:rsid w:val="005D6B61"/>
    <w:rsid w:val="005E357B"/>
    <w:rsid w:val="005E3F8D"/>
    <w:rsid w:val="005E6597"/>
    <w:rsid w:val="005E6B97"/>
    <w:rsid w:val="005F2497"/>
    <w:rsid w:val="005F6A70"/>
    <w:rsid w:val="005F6E61"/>
    <w:rsid w:val="00604DFA"/>
    <w:rsid w:val="00606EA6"/>
    <w:rsid w:val="00613900"/>
    <w:rsid w:val="00614991"/>
    <w:rsid w:val="00627075"/>
    <w:rsid w:val="006340B3"/>
    <w:rsid w:val="0063742F"/>
    <w:rsid w:val="00644F64"/>
    <w:rsid w:val="0065155E"/>
    <w:rsid w:val="00652FD6"/>
    <w:rsid w:val="00656DCF"/>
    <w:rsid w:val="00656F07"/>
    <w:rsid w:val="00661323"/>
    <w:rsid w:val="0066534F"/>
    <w:rsid w:val="00666F9D"/>
    <w:rsid w:val="0067792C"/>
    <w:rsid w:val="00677AEB"/>
    <w:rsid w:val="00680A6F"/>
    <w:rsid w:val="006840B0"/>
    <w:rsid w:val="00690ED7"/>
    <w:rsid w:val="0069641B"/>
    <w:rsid w:val="00696E61"/>
    <w:rsid w:val="00697F7E"/>
    <w:rsid w:val="006B2543"/>
    <w:rsid w:val="006C2CDC"/>
    <w:rsid w:val="006C4913"/>
    <w:rsid w:val="006D34C2"/>
    <w:rsid w:val="006F07B9"/>
    <w:rsid w:val="006F0A5D"/>
    <w:rsid w:val="007129D2"/>
    <w:rsid w:val="00712BC2"/>
    <w:rsid w:val="00724770"/>
    <w:rsid w:val="00736FB3"/>
    <w:rsid w:val="0073771A"/>
    <w:rsid w:val="007441C7"/>
    <w:rsid w:val="00745287"/>
    <w:rsid w:val="007464B4"/>
    <w:rsid w:val="007471EB"/>
    <w:rsid w:val="00750FDA"/>
    <w:rsid w:val="007618EA"/>
    <w:rsid w:val="00763394"/>
    <w:rsid w:val="007661E7"/>
    <w:rsid w:val="00770DFD"/>
    <w:rsid w:val="00774718"/>
    <w:rsid w:val="00776BE3"/>
    <w:rsid w:val="0078357D"/>
    <w:rsid w:val="007853A2"/>
    <w:rsid w:val="00785D11"/>
    <w:rsid w:val="0078758E"/>
    <w:rsid w:val="007968EB"/>
    <w:rsid w:val="007A0836"/>
    <w:rsid w:val="007B6CE8"/>
    <w:rsid w:val="007C2DEA"/>
    <w:rsid w:val="007C3FD5"/>
    <w:rsid w:val="007D0821"/>
    <w:rsid w:val="007D28CE"/>
    <w:rsid w:val="007D4D88"/>
    <w:rsid w:val="007D52B7"/>
    <w:rsid w:val="007D648C"/>
    <w:rsid w:val="007E0E35"/>
    <w:rsid w:val="007E5933"/>
    <w:rsid w:val="007E6776"/>
    <w:rsid w:val="007F533B"/>
    <w:rsid w:val="007F6239"/>
    <w:rsid w:val="00801AA2"/>
    <w:rsid w:val="00810AE8"/>
    <w:rsid w:val="00810EBB"/>
    <w:rsid w:val="00812389"/>
    <w:rsid w:val="00813410"/>
    <w:rsid w:val="0081544B"/>
    <w:rsid w:val="008414E2"/>
    <w:rsid w:val="00845605"/>
    <w:rsid w:val="00847941"/>
    <w:rsid w:val="00850D02"/>
    <w:rsid w:val="00856358"/>
    <w:rsid w:val="00857D75"/>
    <w:rsid w:val="00860B7D"/>
    <w:rsid w:val="008616DE"/>
    <w:rsid w:val="008652ED"/>
    <w:rsid w:val="00872587"/>
    <w:rsid w:val="008739D2"/>
    <w:rsid w:val="0089197C"/>
    <w:rsid w:val="00892125"/>
    <w:rsid w:val="008A14B9"/>
    <w:rsid w:val="008A22C1"/>
    <w:rsid w:val="008A331D"/>
    <w:rsid w:val="008B1758"/>
    <w:rsid w:val="008B4D22"/>
    <w:rsid w:val="008B5B79"/>
    <w:rsid w:val="008D0B38"/>
    <w:rsid w:val="008E45FE"/>
    <w:rsid w:val="008E47D2"/>
    <w:rsid w:val="008E5526"/>
    <w:rsid w:val="008F0CF3"/>
    <w:rsid w:val="008F119F"/>
    <w:rsid w:val="008F161D"/>
    <w:rsid w:val="008F3958"/>
    <w:rsid w:val="00903AE2"/>
    <w:rsid w:val="00913F75"/>
    <w:rsid w:val="00923BED"/>
    <w:rsid w:val="009329D3"/>
    <w:rsid w:val="00937384"/>
    <w:rsid w:val="00951F0E"/>
    <w:rsid w:val="009566D2"/>
    <w:rsid w:val="00957F59"/>
    <w:rsid w:val="00973D89"/>
    <w:rsid w:val="00974E01"/>
    <w:rsid w:val="00990B32"/>
    <w:rsid w:val="009959D4"/>
    <w:rsid w:val="009A0FDF"/>
    <w:rsid w:val="009A501C"/>
    <w:rsid w:val="009B0368"/>
    <w:rsid w:val="009B1313"/>
    <w:rsid w:val="009B599E"/>
    <w:rsid w:val="009C4875"/>
    <w:rsid w:val="009D381E"/>
    <w:rsid w:val="009D43C0"/>
    <w:rsid w:val="009D46CD"/>
    <w:rsid w:val="009D6E63"/>
    <w:rsid w:val="009E5D15"/>
    <w:rsid w:val="009F05F8"/>
    <w:rsid w:val="009F5F4F"/>
    <w:rsid w:val="00A008CB"/>
    <w:rsid w:val="00A12CD1"/>
    <w:rsid w:val="00A156FF"/>
    <w:rsid w:val="00A24369"/>
    <w:rsid w:val="00A24A4D"/>
    <w:rsid w:val="00A36470"/>
    <w:rsid w:val="00A43255"/>
    <w:rsid w:val="00A45B57"/>
    <w:rsid w:val="00A47B6D"/>
    <w:rsid w:val="00A530A5"/>
    <w:rsid w:val="00A53251"/>
    <w:rsid w:val="00A54B5F"/>
    <w:rsid w:val="00A6241F"/>
    <w:rsid w:val="00A627FE"/>
    <w:rsid w:val="00A67650"/>
    <w:rsid w:val="00A81C83"/>
    <w:rsid w:val="00A84774"/>
    <w:rsid w:val="00A862B3"/>
    <w:rsid w:val="00A93DB4"/>
    <w:rsid w:val="00A95B32"/>
    <w:rsid w:val="00A962C7"/>
    <w:rsid w:val="00AA0BFC"/>
    <w:rsid w:val="00AA0CBA"/>
    <w:rsid w:val="00AA1488"/>
    <w:rsid w:val="00AB0724"/>
    <w:rsid w:val="00AB3981"/>
    <w:rsid w:val="00AB4DAA"/>
    <w:rsid w:val="00AB54B7"/>
    <w:rsid w:val="00AC0170"/>
    <w:rsid w:val="00AC284A"/>
    <w:rsid w:val="00AC3C61"/>
    <w:rsid w:val="00AD0083"/>
    <w:rsid w:val="00AD1099"/>
    <w:rsid w:val="00AD1223"/>
    <w:rsid w:val="00AD55D9"/>
    <w:rsid w:val="00AD5F70"/>
    <w:rsid w:val="00AE56F9"/>
    <w:rsid w:val="00AF5F7D"/>
    <w:rsid w:val="00B0032B"/>
    <w:rsid w:val="00B07D4B"/>
    <w:rsid w:val="00B1540A"/>
    <w:rsid w:val="00B15620"/>
    <w:rsid w:val="00B24E45"/>
    <w:rsid w:val="00B25545"/>
    <w:rsid w:val="00B305B3"/>
    <w:rsid w:val="00B31124"/>
    <w:rsid w:val="00B31A9A"/>
    <w:rsid w:val="00B377AA"/>
    <w:rsid w:val="00B425E8"/>
    <w:rsid w:val="00B4486E"/>
    <w:rsid w:val="00B46517"/>
    <w:rsid w:val="00B50197"/>
    <w:rsid w:val="00B505A9"/>
    <w:rsid w:val="00B53978"/>
    <w:rsid w:val="00B623C3"/>
    <w:rsid w:val="00B80A2D"/>
    <w:rsid w:val="00B830A0"/>
    <w:rsid w:val="00B91DB6"/>
    <w:rsid w:val="00B95695"/>
    <w:rsid w:val="00BA16C6"/>
    <w:rsid w:val="00BA2027"/>
    <w:rsid w:val="00BC0EC0"/>
    <w:rsid w:val="00BC4C82"/>
    <w:rsid w:val="00BD473C"/>
    <w:rsid w:val="00BE6BBE"/>
    <w:rsid w:val="00BF0672"/>
    <w:rsid w:val="00C0466D"/>
    <w:rsid w:val="00C05644"/>
    <w:rsid w:val="00C11B85"/>
    <w:rsid w:val="00C15561"/>
    <w:rsid w:val="00C169DC"/>
    <w:rsid w:val="00C220D5"/>
    <w:rsid w:val="00C23F0C"/>
    <w:rsid w:val="00C27373"/>
    <w:rsid w:val="00C32F1E"/>
    <w:rsid w:val="00C33792"/>
    <w:rsid w:val="00C33D9A"/>
    <w:rsid w:val="00C35B58"/>
    <w:rsid w:val="00C42FBB"/>
    <w:rsid w:val="00C43389"/>
    <w:rsid w:val="00C457F9"/>
    <w:rsid w:val="00C47D80"/>
    <w:rsid w:val="00C5352E"/>
    <w:rsid w:val="00C560DB"/>
    <w:rsid w:val="00C61DCD"/>
    <w:rsid w:val="00C625AC"/>
    <w:rsid w:val="00C6597C"/>
    <w:rsid w:val="00C758C7"/>
    <w:rsid w:val="00C856D1"/>
    <w:rsid w:val="00CA2B36"/>
    <w:rsid w:val="00CA30F0"/>
    <w:rsid w:val="00CB0112"/>
    <w:rsid w:val="00CB6746"/>
    <w:rsid w:val="00CB7392"/>
    <w:rsid w:val="00CC002A"/>
    <w:rsid w:val="00CD0429"/>
    <w:rsid w:val="00CD0AC3"/>
    <w:rsid w:val="00CD4E6C"/>
    <w:rsid w:val="00CE545E"/>
    <w:rsid w:val="00CE7351"/>
    <w:rsid w:val="00CF253E"/>
    <w:rsid w:val="00D02F10"/>
    <w:rsid w:val="00D049D5"/>
    <w:rsid w:val="00D10A23"/>
    <w:rsid w:val="00D11A30"/>
    <w:rsid w:val="00D16FE7"/>
    <w:rsid w:val="00D22090"/>
    <w:rsid w:val="00D3281B"/>
    <w:rsid w:val="00D3313E"/>
    <w:rsid w:val="00D408D1"/>
    <w:rsid w:val="00D42C05"/>
    <w:rsid w:val="00D44656"/>
    <w:rsid w:val="00D44BB2"/>
    <w:rsid w:val="00D45250"/>
    <w:rsid w:val="00D54D7D"/>
    <w:rsid w:val="00D7250E"/>
    <w:rsid w:val="00D75B78"/>
    <w:rsid w:val="00D77027"/>
    <w:rsid w:val="00D77A69"/>
    <w:rsid w:val="00D8011C"/>
    <w:rsid w:val="00D81911"/>
    <w:rsid w:val="00D826A0"/>
    <w:rsid w:val="00D93C27"/>
    <w:rsid w:val="00DA21A3"/>
    <w:rsid w:val="00DA57CB"/>
    <w:rsid w:val="00DB7B97"/>
    <w:rsid w:val="00DC32A1"/>
    <w:rsid w:val="00DC7DFE"/>
    <w:rsid w:val="00DD16DF"/>
    <w:rsid w:val="00DD4714"/>
    <w:rsid w:val="00DD723A"/>
    <w:rsid w:val="00DF2D13"/>
    <w:rsid w:val="00E0110C"/>
    <w:rsid w:val="00E06AC3"/>
    <w:rsid w:val="00E0792B"/>
    <w:rsid w:val="00E10063"/>
    <w:rsid w:val="00E15B3C"/>
    <w:rsid w:val="00E2193E"/>
    <w:rsid w:val="00E24832"/>
    <w:rsid w:val="00E25B9A"/>
    <w:rsid w:val="00E32E9B"/>
    <w:rsid w:val="00E35F1D"/>
    <w:rsid w:val="00E40344"/>
    <w:rsid w:val="00E40C70"/>
    <w:rsid w:val="00E43184"/>
    <w:rsid w:val="00E45C7C"/>
    <w:rsid w:val="00E50EEA"/>
    <w:rsid w:val="00E522BC"/>
    <w:rsid w:val="00E54F3D"/>
    <w:rsid w:val="00E659D7"/>
    <w:rsid w:val="00E72F45"/>
    <w:rsid w:val="00E75AA1"/>
    <w:rsid w:val="00E771DF"/>
    <w:rsid w:val="00E80FFB"/>
    <w:rsid w:val="00E833ED"/>
    <w:rsid w:val="00E83492"/>
    <w:rsid w:val="00E86729"/>
    <w:rsid w:val="00E86848"/>
    <w:rsid w:val="00E869C1"/>
    <w:rsid w:val="00E92448"/>
    <w:rsid w:val="00E9795B"/>
    <w:rsid w:val="00EC1FED"/>
    <w:rsid w:val="00EC56D2"/>
    <w:rsid w:val="00EC7D3F"/>
    <w:rsid w:val="00EE2780"/>
    <w:rsid w:val="00EE3AEC"/>
    <w:rsid w:val="00F029DE"/>
    <w:rsid w:val="00F03175"/>
    <w:rsid w:val="00F048C8"/>
    <w:rsid w:val="00F12A6F"/>
    <w:rsid w:val="00F16A67"/>
    <w:rsid w:val="00F172B2"/>
    <w:rsid w:val="00F202AD"/>
    <w:rsid w:val="00F22FD2"/>
    <w:rsid w:val="00F25110"/>
    <w:rsid w:val="00F34647"/>
    <w:rsid w:val="00F3779C"/>
    <w:rsid w:val="00F377C6"/>
    <w:rsid w:val="00F43930"/>
    <w:rsid w:val="00F43E28"/>
    <w:rsid w:val="00F5339B"/>
    <w:rsid w:val="00F547D5"/>
    <w:rsid w:val="00F55F3F"/>
    <w:rsid w:val="00F56497"/>
    <w:rsid w:val="00F61652"/>
    <w:rsid w:val="00F65740"/>
    <w:rsid w:val="00F72368"/>
    <w:rsid w:val="00F77BFE"/>
    <w:rsid w:val="00F845FA"/>
    <w:rsid w:val="00F9054E"/>
    <w:rsid w:val="00F91391"/>
    <w:rsid w:val="00F929DB"/>
    <w:rsid w:val="00FA2B26"/>
    <w:rsid w:val="00FA435A"/>
    <w:rsid w:val="00FB00D0"/>
    <w:rsid w:val="00FC0231"/>
    <w:rsid w:val="00FC3A4C"/>
    <w:rsid w:val="00FC407E"/>
    <w:rsid w:val="00FC66C7"/>
    <w:rsid w:val="00FC7E98"/>
    <w:rsid w:val="00FD178A"/>
    <w:rsid w:val="00FE291B"/>
    <w:rsid w:val="00FF1589"/>
    <w:rsid w:val="00FF33F4"/>
    <w:rsid w:val="00FF3CF9"/>
    <w:rsid w:val="00FF603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B969548"/>
  <w15:docId w15:val="{26F4C7B7-2359-4AC7-8A30-ADB335D7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H"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125"/>
    <w:pPr>
      <w:spacing w:before="120" w:line="360" w:lineRule="auto"/>
      <w:jc w:val="both"/>
    </w:pPr>
    <w:rPr>
      <w:sz w:val="24"/>
      <w:lang w:val="fr-FR" w:eastAsia="fr-FR"/>
    </w:rPr>
  </w:style>
  <w:style w:type="paragraph" w:styleId="Heading1">
    <w:name w:val="heading 1"/>
    <w:basedOn w:val="Normal"/>
    <w:next w:val="Normal"/>
    <w:autoRedefine/>
    <w:qFormat/>
    <w:rsid w:val="000D532D"/>
    <w:pPr>
      <w:keepNext/>
      <w:numPr>
        <w:numId w:val="31"/>
      </w:numPr>
      <w:spacing w:before="240" w:after="300" w:line="240" w:lineRule="auto"/>
      <w:ind w:left="357" w:hanging="357"/>
      <w:outlineLvl w:val="0"/>
    </w:pPr>
    <w:rPr>
      <w:b/>
      <w:kern w:val="28"/>
      <w:sz w:val="32"/>
    </w:rPr>
  </w:style>
  <w:style w:type="paragraph" w:styleId="Heading2">
    <w:name w:val="heading 2"/>
    <w:basedOn w:val="Normal"/>
    <w:next w:val="Normal"/>
    <w:qFormat/>
    <w:rsid w:val="0055436E"/>
    <w:pPr>
      <w:keepNext/>
      <w:numPr>
        <w:ilvl w:val="1"/>
        <w:numId w:val="31"/>
      </w:numPr>
      <w:tabs>
        <w:tab w:val="left" w:pos="709"/>
      </w:tabs>
      <w:spacing w:before="220" w:after="220" w:line="240" w:lineRule="auto"/>
      <w:ind w:left="709" w:hanging="709"/>
      <w:outlineLvl w:val="1"/>
    </w:pPr>
    <w:rPr>
      <w:b/>
      <w:sz w:val="28"/>
    </w:rPr>
  </w:style>
  <w:style w:type="paragraph" w:styleId="Heading3">
    <w:name w:val="heading 3"/>
    <w:basedOn w:val="Normal"/>
    <w:next w:val="Normal"/>
    <w:qFormat/>
    <w:rsid w:val="00D3313E"/>
    <w:pPr>
      <w:keepNext/>
      <w:numPr>
        <w:ilvl w:val="2"/>
        <w:numId w:val="31"/>
      </w:numPr>
      <w:tabs>
        <w:tab w:val="left" w:pos="709"/>
      </w:tabs>
      <w:spacing w:before="180" w:after="180" w:line="240" w:lineRule="auto"/>
      <w:ind w:left="709" w:hanging="709"/>
      <w:jc w:val="left"/>
      <w:outlineLvl w:val="2"/>
    </w:pPr>
    <w:rPr>
      <w:b/>
    </w:rPr>
  </w:style>
  <w:style w:type="paragraph" w:styleId="Heading4">
    <w:name w:val="heading 4"/>
    <w:basedOn w:val="Normal"/>
    <w:next w:val="Normal"/>
    <w:rsid w:val="00661323"/>
    <w:pPr>
      <w:keepNext/>
      <w:numPr>
        <w:ilvl w:val="3"/>
        <w:numId w:val="31"/>
      </w:numPr>
      <w:spacing w:before="80"/>
      <w:jc w:val="center"/>
      <w:outlineLvl w:val="3"/>
    </w:pPr>
    <w:rPr>
      <w:b/>
      <w:sz w:val="28"/>
    </w:rPr>
  </w:style>
  <w:style w:type="paragraph" w:styleId="Heading5">
    <w:name w:val="heading 5"/>
    <w:basedOn w:val="Normal"/>
    <w:next w:val="Normal"/>
    <w:rsid w:val="00661323"/>
    <w:pPr>
      <w:keepNext/>
      <w:numPr>
        <w:ilvl w:val="4"/>
        <w:numId w:val="31"/>
      </w:numPr>
      <w:outlineLvl w:val="4"/>
    </w:pPr>
    <w:rPr>
      <w:i/>
    </w:rPr>
  </w:style>
  <w:style w:type="paragraph" w:styleId="Heading6">
    <w:name w:val="heading 6"/>
    <w:basedOn w:val="Normal"/>
    <w:next w:val="Normal"/>
    <w:rsid w:val="00661323"/>
    <w:pPr>
      <w:keepNext/>
      <w:jc w:val="center"/>
      <w:outlineLvl w:val="5"/>
    </w:pPr>
    <w:rPr>
      <w:b/>
    </w:rPr>
  </w:style>
  <w:style w:type="paragraph" w:styleId="Heading7">
    <w:name w:val="heading 7"/>
    <w:basedOn w:val="Normal"/>
    <w:next w:val="Normal"/>
    <w:rsid w:val="00661323"/>
    <w:pPr>
      <w:keepNext/>
      <w:pBdr>
        <w:top w:val="threeDEngrave" w:sz="36" w:space="1" w:color="auto"/>
        <w:left w:val="threeDEngrave" w:sz="36" w:space="4" w:color="auto"/>
        <w:bottom w:val="threeDEmboss" w:sz="36" w:space="1" w:color="auto"/>
        <w:right w:val="threeDEmboss" w:sz="36" w:space="4" w:color="auto"/>
      </w:pBdr>
      <w:jc w:val="center"/>
      <w:outlineLvl w:val="6"/>
    </w:pPr>
    <w:rPr>
      <w:sz w:val="36"/>
    </w:rPr>
  </w:style>
  <w:style w:type="paragraph" w:styleId="Heading8">
    <w:name w:val="heading 8"/>
    <w:basedOn w:val="Normal"/>
    <w:next w:val="Normal"/>
    <w:rsid w:val="00661323"/>
    <w:pPr>
      <w:keepNext/>
      <w:jc w:val="left"/>
      <w:outlineLvl w:val="7"/>
    </w:pPr>
    <w:rPr>
      <w:b/>
      <w:sz w:val="18"/>
    </w:rPr>
  </w:style>
  <w:style w:type="paragraph" w:styleId="Heading9">
    <w:name w:val="heading 9"/>
    <w:basedOn w:val="Normal"/>
    <w:next w:val="Normal"/>
    <w:rsid w:val="00661323"/>
    <w:pPr>
      <w:keepNext/>
      <w:spacing w:before="0"/>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1323"/>
    <w:pPr>
      <w:jc w:val="center"/>
    </w:pPr>
    <w:rPr>
      <w:b/>
      <w:sz w:val="28"/>
    </w:rPr>
  </w:style>
  <w:style w:type="paragraph" w:styleId="BodyTextIndent2">
    <w:name w:val="Body Text Indent 2"/>
    <w:basedOn w:val="Normal"/>
    <w:rsid w:val="00661323"/>
    <w:pPr>
      <w:ind w:firstLine="284"/>
    </w:pPr>
    <w:rPr>
      <w:rFonts w:eastAsia="Times New Roman"/>
    </w:rPr>
  </w:style>
  <w:style w:type="paragraph" w:styleId="BodyTextIndent">
    <w:name w:val="Body Text Indent"/>
    <w:basedOn w:val="Normal"/>
    <w:rsid w:val="00661323"/>
    <w:pPr>
      <w:ind w:left="426"/>
    </w:pPr>
  </w:style>
  <w:style w:type="paragraph" w:styleId="Footer">
    <w:name w:val="footer"/>
    <w:basedOn w:val="Normal"/>
    <w:rsid w:val="00661323"/>
    <w:pPr>
      <w:tabs>
        <w:tab w:val="center" w:pos="4536"/>
        <w:tab w:val="right" w:pos="9072"/>
      </w:tabs>
    </w:pPr>
  </w:style>
  <w:style w:type="character" w:styleId="PageNumber">
    <w:name w:val="page number"/>
    <w:basedOn w:val="DefaultParagraphFont"/>
    <w:rsid w:val="00661323"/>
  </w:style>
  <w:style w:type="paragraph" w:styleId="BodyTextIndent3">
    <w:name w:val="Body Text Indent 3"/>
    <w:basedOn w:val="Normal"/>
    <w:rsid w:val="00661323"/>
    <w:pPr>
      <w:spacing w:before="80" w:line="260" w:lineRule="atLeast"/>
      <w:ind w:left="284" w:hanging="284"/>
    </w:pPr>
  </w:style>
  <w:style w:type="paragraph" w:styleId="FootnoteText">
    <w:name w:val="footnote text"/>
    <w:basedOn w:val="Normal"/>
    <w:link w:val="FootnoteTextChar"/>
    <w:rsid w:val="00661323"/>
    <w:rPr>
      <w:sz w:val="20"/>
    </w:rPr>
  </w:style>
  <w:style w:type="character" w:styleId="FootnoteReference">
    <w:name w:val="footnote reference"/>
    <w:rsid w:val="00661323"/>
    <w:rPr>
      <w:vertAlign w:val="superscript"/>
    </w:rPr>
  </w:style>
  <w:style w:type="paragraph" w:styleId="TOC1">
    <w:name w:val="toc 1"/>
    <w:basedOn w:val="Normal"/>
    <w:next w:val="Normal"/>
    <w:autoRedefine/>
    <w:rsid w:val="00661323"/>
    <w:pPr>
      <w:tabs>
        <w:tab w:val="left" w:pos="426"/>
        <w:tab w:val="right" w:leader="dot" w:pos="9060"/>
      </w:tabs>
      <w:spacing w:after="120"/>
      <w:ind w:left="426" w:hanging="426"/>
      <w:jc w:val="left"/>
    </w:pPr>
    <w:rPr>
      <w:b/>
      <w:caps/>
      <w:noProof/>
      <w:sz w:val="20"/>
    </w:rPr>
  </w:style>
  <w:style w:type="paragraph" w:styleId="TOC2">
    <w:name w:val="toc 2"/>
    <w:basedOn w:val="Normal"/>
    <w:next w:val="Normal"/>
    <w:autoRedefine/>
    <w:rsid w:val="00661323"/>
    <w:pPr>
      <w:tabs>
        <w:tab w:val="left" w:pos="851"/>
        <w:tab w:val="right" w:leader="dot" w:pos="9060"/>
      </w:tabs>
      <w:spacing w:before="0"/>
      <w:ind w:left="851" w:hanging="347"/>
      <w:jc w:val="left"/>
    </w:pPr>
    <w:rPr>
      <w:smallCaps/>
      <w:noProof/>
      <w:sz w:val="20"/>
    </w:rPr>
  </w:style>
  <w:style w:type="paragraph" w:styleId="TOC3">
    <w:name w:val="toc 3"/>
    <w:basedOn w:val="Normal"/>
    <w:next w:val="Normal"/>
    <w:autoRedefine/>
    <w:rsid w:val="00661323"/>
    <w:pPr>
      <w:spacing w:before="0"/>
      <w:ind w:left="440"/>
      <w:jc w:val="left"/>
    </w:pPr>
    <w:rPr>
      <w:i/>
      <w:sz w:val="20"/>
    </w:rPr>
  </w:style>
  <w:style w:type="paragraph" w:styleId="TOC4">
    <w:name w:val="toc 4"/>
    <w:basedOn w:val="Normal"/>
    <w:next w:val="Normal"/>
    <w:autoRedefine/>
    <w:rsid w:val="00661323"/>
    <w:pPr>
      <w:spacing w:before="0"/>
      <w:ind w:left="660"/>
      <w:jc w:val="left"/>
    </w:pPr>
    <w:rPr>
      <w:sz w:val="18"/>
    </w:rPr>
  </w:style>
  <w:style w:type="paragraph" w:styleId="TOC5">
    <w:name w:val="toc 5"/>
    <w:basedOn w:val="Normal"/>
    <w:next w:val="Normal"/>
    <w:autoRedefine/>
    <w:rsid w:val="00661323"/>
    <w:pPr>
      <w:spacing w:before="0"/>
      <w:ind w:left="880"/>
      <w:jc w:val="left"/>
    </w:pPr>
    <w:rPr>
      <w:sz w:val="18"/>
    </w:rPr>
  </w:style>
  <w:style w:type="paragraph" w:styleId="TOC6">
    <w:name w:val="toc 6"/>
    <w:basedOn w:val="Normal"/>
    <w:next w:val="Normal"/>
    <w:autoRedefine/>
    <w:rsid w:val="00661323"/>
    <w:pPr>
      <w:spacing w:before="0"/>
      <w:ind w:left="1100"/>
      <w:jc w:val="left"/>
    </w:pPr>
    <w:rPr>
      <w:sz w:val="18"/>
    </w:rPr>
  </w:style>
  <w:style w:type="paragraph" w:styleId="TOC7">
    <w:name w:val="toc 7"/>
    <w:basedOn w:val="Normal"/>
    <w:next w:val="Normal"/>
    <w:autoRedefine/>
    <w:rsid w:val="00661323"/>
    <w:pPr>
      <w:spacing w:before="0"/>
      <w:ind w:left="1320"/>
      <w:jc w:val="left"/>
    </w:pPr>
    <w:rPr>
      <w:sz w:val="18"/>
    </w:rPr>
  </w:style>
  <w:style w:type="paragraph" w:styleId="TOC8">
    <w:name w:val="toc 8"/>
    <w:basedOn w:val="Normal"/>
    <w:next w:val="Normal"/>
    <w:autoRedefine/>
    <w:rsid w:val="00661323"/>
    <w:pPr>
      <w:spacing w:before="0"/>
      <w:ind w:left="1540"/>
      <w:jc w:val="left"/>
    </w:pPr>
    <w:rPr>
      <w:sz w:val="18"/>
    </w:rPr>
  </w:style>
  <w:style w:type="paragraph" w:styleId="TOC9">
    <w:name w:val="toc 9"/>
    <w:basedOn w:val="Normal"/>
    <w:next w:val="Normal"/>
    <w:autoRedefine/>
    <w:rsid w:val="00661323"/>
    <w:pPr>
      <w:spacing w:before="0"/>
      <w:ind w:left="1760"/>
      <w:jc w:val="left"/>
    </w:pPr>
    <w:rPr>
      <w:sz w:val="18"/>
    </w:rPr>
  </w:style>
  <w:style w:type="character" w:styleId="Hyperlink">
    <w:name w:val="Hyperlink"/>
    <w:uiPriority w:val="99"/>
    <w:rsid w:val="00661323"/>
    <w:rPr>
      <w:color w:val="0000FF"/>
      <w:u w:val="single"/>
    </w:rPr>
  </w:style>
  <w:style w:type="character" w:styleId="FollowedHyperlink">
    <w:name w:val="FollowedHyperlink"/>
    <w:rsid w:val="00661323"/>
    <w:rPr>
      <w:color w:val="800080"/>
      <w:u w:val="single"/>
    </w:rPr>
  </w:style>
  <w:style w:type="paragraph" w:styleId="Title">
    <w:name w:val="Title"/>
    <w:basedOn w:val="Normal"/>
    <w:next w:val="Normal"/>
    <w:link w:val="TitleChar"/>
    <w:uiPriority w:val="10"/>
    <w:qFormat/>
    <w:rsid w:val="00736FB3"/>
    <w:pPr>
      <w:spacing w:before="240" w:after="420" w:line="240" w:lineRule="auto"/>
      <w:jc w:val="center"/>
      <w:outlineLvl w:val="0"/>
    </w:pPr>
    <w:rPr>
      <w:rFonts w:ascii="Times New Roman" w:eastAsia="Times New Roman" w:hAnsi="Times New Roman"/>
      <w:b/>
      <w:bCs/>
      <w:kern w:val="28"/>
      <w:sz w:val="32"/>
      <w:szCs w:val="32"/>
    </w:rPr>
  </w:style>
  <w:style w:type="character" w:customStyle="1" w:styleId="TitleChar">
    <w:name w:val="Title Char"/>
    <w:link w:val="Title"/>
    <w:uiPriority w:val="10"/>
    <w:rsid w:val="00736FB3"/>
    <w:rPr>
      <w:rFonts w:ascii="Times New Roman" w:eastAsia="Times New Roman" w:hAnsi="Times New Roman"/>
      <w:b/>
      <w:bCs/>
      <w:kern w:val="28"/>
      <w:sz w:val="32"/>
      <w:szCs w:val="32"/>
      <w:lang w:val="fr-FR" w:eastAsia="fr-FR"/>
    </w:rPr>
  </w:style>
  <w:style w:type="paragraph" w:styleId="BalloonText">
    <w:name w:val="Balloon Text"/>
    <w:basedOn w:val="Normal"/>
    <w:link w:val="BalloonTextChar"/>
    <w:uiPriority w:val="99"/>
    <w:semiHidden/>
    <w:unhideWhenUsed/>
    <w:rsid w:val="00C625AC"/>
    <w:pPr>
      <w:spacing w:before="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C625AC"/>
    <w:rPr>
      <w:rFonts w:ascii="Lucida Grande" w:hAnsi="Lucida Grande" w:cs="Lucida Grande"/>
      <w:sz w:val="18"/>
      <w:szCs w:val="18"/>
      <w:lang w:eastAsia="fr-FR"/>
    </w:rPr>
  </w:style>
  <w:style w:type="paragraph" w:styleId="Header">
    <w:name w:val="header"/>
    <w:basedOn w:val="Normal"/>
    <w:link w:val="HeaderChar"/>
    <w:uiPriority w:val="99"/>
    <w:unhideWhenUsed/>
    <w:rsid w:val="00736FB3"/>
    <w:pPr>
      <w:tabs>
        <w:tab w:val="center" w:pos="4536"/>
        <w:tab w:val="right" w:pos="9072"/>
      </w:tabs>
      <w:spacing w:before="0" w:line="240" w:lineRule="auto"/>
    </w:pPr>
  </w:style>
  <w:style w:type="paragraph" w:customStyle="1" w:styleId="List0">
    <w:name w:val="List 0"/>
    <w:basedOn w:val="Normal"/>
    <w:semiHidden/>
    <w:rsid w:val="009D43C0"/>
    <w:pPr>
      <w:numPr>
        <w:numId w:val="1"/>
      </w:numPr>
      <w:spacing w:before="0" w:line="240" w:lineRule="auto"/>
      <w:jc w:val="left"/>
    </w:pPr>
    <w:rPr>
      <w:rFonts w:ascii="Times New Roman" w:eastAsia="Times New Roman" w:hAnsi="Times New Roman"/>
      <w:sz w:val="20"/>
    </w:rPr>
  </w:style>
  <w:style w:type="paragraph" w:customStyle="1" w:styleId="List1">
    <w:name w:val="List 1"/>
    <w:basedOn w:val="Normal"/>
    <w:semiHidden/>
    <w:rsid w:val="009D43C0"/>
    <w:pPr>
      <w:numPr>
        <w:numId w:val="7"/>
      </w:numPr>
      <w:spacing w:before="0" w:line="240" w:lineRule="auto"/>
      <w:jc w:val="left"/>
    </w:pPr>
    <w:rPr>
      <w:rFonts w:ascii="Times New Roman" w:eastAsia="Times New Roman" w:hAnsi="Times New Roman"/>
      <w:sz w:val="20"/>
    </w:rPr>
  </w:style>
  <w:style w:type="character" w:customStyle="1" w:styleId="FootnoteTextChar">
    <w:name w:val="Footnote Text Char"/>
    <w:basedOn w:val="DefaultParagraphFont"/>
    <w:link w:val="FootnoteText"/>
    <w:rsid w:val="009D43C0"/>
    <w:rPr>
      <w:lang w:val="fr-FR" w:eastAsia="fr-FR"/>
    </w:rPr>
  </w:style>
  <w:style w:type="paragraph" w:styleId="BodyText3">
    <w:name w:val="Body Text 3"/>
    <w:basedOn w:val="Normal"/>
    <w:link w:val="BodyText3Char"/>
    <w:rsid w:val="009D43C0"/>
    <w:pPr>
      <w:spacing w:before="0" w:line="240" w:lineRule="auto"/>
      <w:jc w:val="left"/>
    </w:pPr>
    <w:rPr>
      <w:rFonts w:ascii="Times New Roman" w:eastAsia="Times New Roman" w:hAnsi="Times New Roman"/>
      <w:color w:val="000000"/>
    </w:rPr>
  </w:style>
  <w:style w:type="character" w:customStyle="1" w:styleId="BodyText3Char">
    <w:name w:val="Body Text 3 Char"/>
    <w:basedOn w:val="DefaultParagraphFont"/>
    <w:link w:val="BodyText3"/>
    <w:rsid w:val="009D43C0"/>
    <w:rPr>
      <w:rFonts w:ascii="Times New Roman" w:eastAsia="Times New Roman" w:hAnsi="Times New Roman"/>
      <w:color w:val="000000"/>
      <w:sz w:val="24"/>
      <w:lang w:val="fr-FR" w:eastAsia="fr-FR"/>
    </w:rPr>
  </w:style>
  <w:style w:type="paragraph" w:styleId="ListParagraph">
    <w:name w:val="List Paragraph"/>
    <w:basedOn w:val="Normal"/>
    <w:uiPriority w:val="34"/>
    <w:qFormat/>
    <w:rsid w:val="00C32F1E"/>
    <w:pPr>
      <w:numPr>
        <w:numId w:val="44"/>
      </w:numPr>
      <w:contextualSpacing/>
    </w:pPr>
  </w:style>
  <w:style w:type="character" w:styleId="Emphasis">
    <w:name w:val="Emphasis"/>
    <w:basedOn w:val="DefaultParagraphFont"/>
    <w:uiPriority w:val="20"/>
    <w:qFormat/>
    <w:rsid w:val="008E5526"/>
    <w:rPr>
      <w:i/>
      <w:iCs/>
    </w:rPr>
  </w:style>
  <w:style w:type="paragraph" w:styleId="Subtitle">
    <w:name w:val="Subtitle"/>
    <w:basedOn w:val="BodyText3"/>
    <w:next w:val="Normal"/>
    <w:link w:val="SubtitleChar"/>
    <w:uiPriority w:val="11"/>
    <w:qFormat/>
    <w:rsid w:val="00D3313E"/>
    <w:pPr>
      <w:spacing w:before="120" w:after="120" w:line="360" w:lineRule="auto"/>
      <w:jc w:val="both"/>
    </w:pPr>
    <w:rPr>
      <w:rFonts w:eastAsia="SimSun" w:cs="Arial"/>
      <w:b/>
    </w:rPr>
  </w:style>
  <w:style w:type="character" w:customStyle="1" w:styleId="SubtitleChar">
    <w:name w:val="Subtitle Char"/>
    <w:basedOn w:val="DefaultParagraphFont"/>
    <w:link w:val="Subtitle"/>
    <w:uiPriority w:val="11"/>
    <w:rsid w:val="00D3313E"/>
    <w:rPr>
      <w:rFonts w:ascii="Times New Roman" w:eastAsia="SimSun" w:hAnsi="Times New Roman" w:cs="Arial"/>
      <w:b/>
      <w:color w:val="000000"/>
      <w:sz w:val="24"/>
      <w:lang w:val="fr-FR" w:eastAsia="fr-FR"/>
    </w:rPr>
  </w:style>
  <w:style w:type="paragraph" w:customStyle="1" w:styleId="Listepuce">
    <w:name w:val="Liste à puce"/>
    <w:basedOn w:val="ListParagraph"/>
    <w:qFormat/>
    <w:rsid w:val="00D22090"/>
  </w:style>
  <w:style w:type="paragraph" w:customStyle="1" w:styleId="Listenumrote">
    <w:name w:val="Liste numérotée"/>
    <w:basedOn w:val="ListParagraph"/>
    <w:qFormat/>
    <w:rsid w:val="00D22090"/>
    <w:pPr>
      <w:numPr>
        <w:numId w:val="45"/>
      </w:numPr>
    </w:pPr>
  </w:style>
  <w:style w:type="paragraph" w:customStyle="1" w:styleId="Tableau">
    <w:name w:val="Tableau"/>
    <w:basedOn w:val="Caption"/>
    <w:qFormat/>
    <w:rsid w:val="00C758C7"/>
    <w:pPr>
      <w:spacing w:before="200"/>
      <w:jc w:val="left"/>
    </w:pPr>
    <w:rPr>
      <w:rFonts w:eastAsiaTheme="minorHAnsi" w:cs="Times"/>
      <w:b/>
      <w:bCs/>
      <w:i w:val="0"/>
      <w:iCs w:val="0"/>
      <w:color w:val="auto"/>
      <w:sz w:val="20"/>
      <w:szCs w:val="20"/>
      <w:lang w:val="fr-CA" w:eastAsia="en-US"/>
    </w:rPr>
  </w:style>
  <w:style w:type="paragraph" w:styleId="Caption">
    <w:name w:val="caption"/>
    <w:basedOn w:val="Normal"/>
    <w:next w:val="Normal"/>
    <w:uiPriority w:val="35"/>
    <w:unhideWhenUsed/>
    <w:qFormat/>
    <w:rsid w:val="00C758C7"/>
    <w:pPr>
      <w:spacing w:before="0" w:after="200" w:line="240" w:lineRule="auto"/>
    </w:pPr>
    <w:rPr>
      <w:i/>
      <w:iCs/>
      <w:color w:val="1F497D" w:themeColor="text2"/>
      <w:sz w:val="18"/>
      <w:szCs w:val="18"/>
    </w:rPr>
  </w:style>
  <w:style w:type="table" w:styleId="TableGrid">
    <w:name w:val="Table Grid"/>
    <w:basedOn w:val="TableNormal"/>
    <w:uiPriority w:val="59"/>
    <w:rsid w:val="00C75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758C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gure">
    <w:name w:val="Figure"/>
    <w:basedOn w:val="Caption"/>
    <w:qFormat/>
    <w:rsid w:val="00C758C7"/>
    <w:pPr>
      <w:spacing w:after="240"/>
      <w:jc w:val="left"/>
    </w:pPr>
    <w:rPr>
      <w:rFonts w:eastAsiaTheme="minorHAnsi" w:cs="Times"/>
      <w:b/>
      <w:bCs/>
      <w:i w:val="0"/>
      <w:iCs w:val="0"/>
      <w:color w:val="auto"/>
      <w:sz w:val="20"/>
      <w:szCs w:val="20"/>
      <w:lang w:eastAsia="en-US"/>
    </w:rPr>
  </w:style>
  <w:style w:type="paragraph" w:customStyle="1" w:styleId="Auteur-PrnomNom">
    <w:name w:val="Auteur - Prénom Nom"/>
    <w:basedOn w:val="Normal"/>
    <w:next w:val="Normal"/>
    <w:qFormat/>
    <w:rsid w:val="00736FB3"/>
    <w:pPr>
      <w:spacing w:line="240" w:lineRule="auto"/>
      <w:jc w:val="center"/>
    </w:pPr>
    <w:rPr>
      <w:rFonts w:ascii="Georgia" w:hAnsi="Georgia"/>
      <w:smallCaps/>
      <w:sz w:val="18"/>
    </w:rPr>
  </w:style>
  <w:style w:type="paragraph" w:customStyle="1" w:styleId="Auteur-Affiliation">
    <w:name w:val="Auteur - Affiliation"/>
    <w:basedOn w:val="Normal"/>
    <w:qFormat/>
    <w:rsid w:val="00736FB3"/>
    <w:pPr>
      <w:spacing w:line="240" w:lineRule="auto"/>
      <w:jc w:val="center"/>
    </w:pPr>
    <w:rPr>
      <w:rFonts w:ascii="Georgia" w:hAnsi="Georgia"/>
      <w:sz w:val="18"/>
    </w:rPr>
  </w:style>
  <w:style w:type="character" w:customStyle="1" w:styleId="HeaderChar">
    <w:name w:val="Header Char"/>
    <w:basedOn w:val="DefaultParagraphFont"/>
    <w:link w:val="Header"/>
    <w:uiPriority w:val="99"/>
    <w:rsid w:val="00736FB3"/>
    <w:rPr>
      <w:sz w:val="24"/>
      <w:lang w:val="fr-FR" w:eastAsia="fr-FR"/>
    </w:rPr>
  </w:style>
  <w:style w:type="paragraph" w:customStyle="1" w:styleId="Rubrique-Titre">
    <w:name w:val="Rubrique - Titre"/>
    <w:basedOn w:val="Normal"/>
    <w:next w:val="Rubrique-Texte"/>
    <w:qFormat/>
    <w:rsid w:val="00736FB3"/>
    <w:pPr>
      <w:jc w:val="left"/>
    </w:pPr>
    <w:rPr>
      <w:rFonts w:ascii="Georgia" w:hAnsi="Georgia"/>
      <w:b/>
      <w:smallCaps/>
      <w:sz w:val="22"/>
    </w:rPr>
  </w:style>
  <w:style w:type="paragraph" w:customStyle="1" w:styleId="Rubrique-Texte">
    <w:name w:val="Rubrique - Texte"/>
    <w:basedOn w:val="Normal"/>
    <w:qFormat/>
    <w:rsid w:val="00736FB3"/>
    <w:pPr>
      <w:ind w:left="708"/>
    </w:pPr>
    <w:rPr>
      <w:rFonts w:ascii="Georgia" w:hAnsi="Georgia"/>
      <w:sz w:val="20"/>
    </w:rPr>
  </w:style>
  <w:style w:type="paragraph" w:customStyle="1" w:styleId="Rfrences">
    <w:name w:val="Références"/>
    <w:basedOn w:val="Normal"/>
    <w:qFormat/>
    <w:rsid w:val="00073AFA"/>
    <w:pPr>
      <w:spacing w:line="240" w:lineRule="auto"/>
      <w:ind w:left="708"/>
    </w:pPr>
    <w:rPr>
      <w:sz w:val="22"/>
    </w:rPr>
  </w:style>
  <w:style w:type="paragraph" w:styleId="Bibliography">
    <w:name w:val="Bibliography"/>
    <w:basedOn w:val="Normal"/>
    <w:next w:val="Normal"/>
    <w:uiPriority w:val="37"/>
    <w:unhideWhenUsed/>
    <w:rsid w:val="001A640C"/>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ile.hardebolle@epfl.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0460B-5201-44BE-8861-D0D1C559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7816</Words>
  <Characters>49403</Characters>
  <Application>Microsoft Office Word</Application>
  <DocSecurity>0</DocSecurity>
  <Lines>914</Lines>
  <Paragraphs>316</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L’ÉVALUATION DES ACQUIS DES ÉTUDIANTS DANS L’ENSEIGNEMENT SUPÉRIEUR</vt:lpstr>
    </vt:vector>
  </TitlesOfParts>
  <Manager/>
  <Company/>
  <LinksUpToDate>false</LinksUpToDate>
  <CharactersWithSpaces>56903</CharactersWithSpaces>
  <SharedDoc>false</SharedDoc>
  <HyperlinkBase/>
  <HLinks>
    <vt:vector size="6" baseType="variant">
      <vt:variant>
        <vt:i4>5505064</vt:i4>
      </vt:variant>
      <vt:variant>
        <vt:i4>0</vt:i4>
      </vt:variant>
      <vt:variant>
        <vt:i4>0</vt:i4>
      </vt:variant>
      <vt:variant>
        <vt:i4>5</vt:i4>
      </vt:variant>
      <vt:variant>
        <vt:lpwstr>http://www.hce.education.fr/index.php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QPES</dc:creator>
  <cp:keywords/>
  <dc:description/>
  <cp:lastModifiedBy>Hardebolle Cécile</cp:lastModifiedBy>
  <cp:revision>399</cp:revision>
  <cp:lastPrinted>2012-02-15T09:27:00Z</cp:lastPrinted>
  <dcterms:created xsi:type="dcterms:W3CDTF">2022-07-08T06:06:00Z</dcterms:created>
  <dcterms:modified xsi:type="dcterms:W3CDTF">2023-03-03T14:52:00Z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zotero-version="6.0.22"&gt;&lt;session id="tQa0AB99"/&gt;&lt;style id="http://www.zotero.org/styles/apa" locale="en-US" hasBibliography="1" bibliographyStyleHasBeenSet="1"/&gt;&lt;prefs&gt;&lt;pref name="fieldType" value="Field"/&gt;&lt;/prefs&gt;&lt;/data&gt;</vt:lpwstr>
  </property>
</Properties>
</file>